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A94FE">
      <w:pPr>
        <w:spacing w:line="360" w:lineRule="auto"/>
        <w:rPr>
          <w:sz w:val="28"/>
          <w:szCs w:val="24"/>
        </w:rPr>
      </w:pPr>
      <w:r>
        <w:rPr>
          <w:rFonts w:hint="eastAsia"/>
          <w:sz w:val="28"/>
          <w:szCs w:val="24"/>
          <w:lang w:val="en-US" w:eastAsia="zh-CN"/>
        </w:rPr>
        <w:t>附件1：维保内容</w:t>
      </w:r>
    </w:p>
    <w:p w14:paraId="06CD3D16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智能审核规则维护及升级，因收费项目变化导致的规则进行更新。</w:t>
      </w:r>
    </w:p>
    <w:p w14:paraId="375B4BCA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自查自纠，不定期配合上级部门要求进行历史数据定向筛查。</w:t>
      </w:r>
    </w:p>
    <w:p w14:paraId="21BF400B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巡检，监控CPU、数据库、内存、磁盘和网络，确保系统稳定运行。</w:t>
      </w:r>
    </w:p>
    <w:p w14:paraId="5DE1D385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为临床、医保等角色配置不同的操作菜单和数据查看范围。</w:t>
      </w:r>
    </w:p>
    <w:p w14:paraId="2480B0A7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处理医生关于入组错误的申诉，指导查看费用消耗提醒。</w:t>
      </w:r>
    </w:p>
    <w:p w14:paraId="4B00AE06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根据医保局下发的《规则清单》，拆解政策逻辑，调整系统规则参数。支持新增规则的自定义配置与测试上线</w:t>
      </w:r>
    </w:p>
    <w:p w14:paraId="5C3E0F7E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保障事前预警、事中监控、事后分析全链条功能稳定。系统需能实时拦截违规计费或医嘱，并记录拦截日志</w:t>
      </w:r>
    </w:p>
    <w:p w14:paraId="6F2FD309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sz w:val="28"/>
          <w:szCs w:val="28"/>
        </w:rPr>
        <w:t>负责采购单位所使用的软件系统日常运行维护、系统运行评估服务；</w:t>
      </w:r>
    </w:p>
    <w:p w14:paraId="0AC7BCDE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sz w:val="28"/>
          <w:szCs w:val="28"/>
        </w:rPr>
        <w:t>提供软件版本升级服务（含提供运维范围内的升级版软件产品和升级过程技术支持）；</w:t>
      </w:r>
    </w:p>
    <w:p w14:paraId="3070B1AC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sz w:val="28"/>
          <w:szCs w:val="28"/>
        </w:rPr>
        <w:t>提供针对用户运维范围内的新增需求的软件客户化修改服务；</w:t>
      </w:r>
    </w:p>
    <w:p w14:paraId="1EFE83DB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sz w:val="28"/>
          <w:szCs w:val="28"/>
        </w:rPr>
        <w:t>向采购单位开放软件开发商的技术资源，并为用户系统管理员提供专业化技术培训；</w:t>
      </w:r>
    </w:p>
    <w:p w14:paraId="3DD23A9C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DIP年度目录更新，确保医生及医保科参考的支付标准为本年最新权重及费率计算而成。</w:t>
      </w:r>
    </w:p>
    <w:p w14:paraId="47DB25A6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DIP数据维护，确保计算数据与医保返回数据一致，用于医保盈亏的精准计算。</w:t>
      </w:r>
    </w:p>
    <w:p w14:paraId="078E7C64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DIP数据报告，用于生成全院支付方式报告，从全院、病种、科室、医生维度分析盈亏、CMI、时间费用消耗指数、组数、总权重等。DIP</w:t>
      </w: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最新目录更新须于医保局发布新版病种目录后7个工作日内完成系统适配与部署，确保分组逻辑、权重系数、病种库等数据完整准确。</w:t>
      </w:r>
    </w:p>
    <w:p w14:paraId="275AFF79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保障医院</w:t>
      </w:r>
      <w:r>
        <w:rPr>
          <w:rFonts w:hint="eastAsia" w:ascii="宋体" w:hAnsi="宋体" w:eastAsia="宋体" w:cs="宋体"/>
          <w:snapToGrid w:val="0"/>
          <w:sz w:val="28"/>
          <w:szCs w:val="28"/>
          <w:highlight w:val="none"/>
          <w:lang w:val="en-US" w:eastAsia="zh-CN"/>
        </w:rPr>
        <w:t>运营中心、驾驶舱的正常运行。重点维护科室/病种/医生的超支结余分析、</w:t>
      </w: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费用结构分析、重点监测指标等模块的数据抽取与展示无误。</w:t>
      </w:r>
    </w:p>
    <w:p w14:paraId="615C6657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将系统DIP预分组结果与医保局返回数据进行分组比对，确保入组病例分值准确。</w:t>
      </w:r>
    </w:p>
    <w:p w14:paraId="5184C0F3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sz w:val="28"/>
          <w:szCs w:val="24"/>
        </w:rPr>
      </w:pP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结算清单数据提取、清洗、校验，统一疾病诊断、手术操作等业务编码</w:t>
      </w:r>
      <w:r>
        <w:rPr>
          <w:rFonts w:hint="eastAsia" w:ascii="宋体" w:hAnsi="宋体" w:cs="宋体"/>
          <w:snapToGrid w:val="0"/>
          <w:sz w:val="28"/>
          <w:szCs w:val="28"/>
          <w:lang w:val="en-US" w:eastAsia="zh-CN"/>
        </w:rPr>
        <w:t>；</w:t>
      </w:r>
    </w:p>
    <w:p w14:paraId="2DC6DCB3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sz w:val="28"/>
          <w:szCs w:val="24"/>
        </w:rPr>
      </w:pP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t>按月完成结算清单批量上传，处理上传失败及异常数据</w:t>
      </w:r>
      <w:r>
        <w:rPr>
          <w:rFonts w:hint="eastAsia" w:ascii="宋体" w:hAnsi="宋体" w:cs="宋体"/>
          <w:snapToGrid w:val="0"/>
          <w:sz w:val="28"/>
          <w:szCs w:val="28"/>
          <w:lang w:val="en-US" w:eastAsia="zh-CN"/>
        </w:rPr>
        <w:t>。</w:t>
      </w: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fldChar w:fldCharType="begin"/>
      </w: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instrText xml:space="preserve"> HYPERLINK "http://www.lsrmyy.com/caigouzhongxin/shichangdiaoyan/2026-04-13/7587.html" \t "https://chat.deepseek.com/a/chat/s/_blank" </w:instrText>
      </w: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fldChar w:fldCharType="separate"/>
      </w: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fldChar w:fldCharType="end"/>
      </w:r>
    </w:p>
    <w:p w14:paraId="6FF061A1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t>统一将疾病诊断（ICD-10）、手术操作（ICD-9-CM-3）编码映射至医保标准码，确保编码准确率。</w:t>
      </w:r>
    </w:p>
    <w:p w14:paraId="2C0A8E27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t>内置质控规则引擎（包括逻辑校验、必填项校验等），在清单生成时进行质控，不合规数据提示修改。</w:t>
      </w:r>
    </w:p>
    <w:p w14:paraId="772E59A8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napToGrid w:val="0"/>
          <w:sz w:val="28"/>
          <w:szCs w:val="28"/>
          <w:lang w:val="en-US" w:eastAsia="zh-CN"/>
        </w:rPr>
        <w:t>当医保局更新接口规范（如加密方式、报文格式、地址变更）时，及时完成接口适配改造并测试，确保切换平滑。</w:t>
      </w:r>
    </w:p>
    <w:p w14:paraId="64FD89C0">
      <w:pPr>
        <w:numPr>
          <w:ilvl w:val="0"/>
          <w:numId w:val="1"/>
        </w:numPr>
        <w:snapToGrid w:val="0"/>
        <w:spacing w:line="360" w:lineRule="auto"/>
        <w:ind w:left="-113" w:leftChars="0" w:firstLine="113" w:firstLineChars="0"/>
        <w:jc w:val="left"/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根据医保局清算结果及时</w:t>
      </w:r>
      <w:r>
        <w:rPr>
          <w:rFonts w:hint="eastAsia" w:ascii="宋体" w:hAnsi="宋体" w:cs="宋体"/>
          <w:snapToGrid w:val="0"/>
          <w:sz w:val="28"/>
          <w:szCs w:val="28"/>
          <w:lang w:val="en-US" w:eastAsia="zh-CN"/>
        </w:rPr>
        <w:t>将每年年度数据</w:t>
      </w:r>
      <w:r>
        <w:rPr>
          <w:rFonts w:hint="eastAsia" w:ascii="宋体" w:hAnsi="宋体" w:eastAsia="宋体" w:cs="宋体"/>
          <w:snapToGrid w:val="0"/>
          <w:sz w:val="28"/>
          <w:szCs w:val="28"/>
          <w:lang w:val="en-US" w:eastAsia="zh-CN"/>
        </w:rPr>
        <w:t>嵌入系统</w:t>
      </w:r>
      <w:r>
        <w:rPr>
          <w:rFonts w:hint="eastAsia" w:ascii="宋体" w:hAnsi="宋体" w:cs="宋体"/>
          <w:snapToGrid w:val="0"/>
          <w:sz w:val="28"/>
          <w:szCs w:val="28"/>
          <w:lang w:val="en-US" w:eastAsia="zh-CN"/>
        </w:rPr>
        <w:t>中。</w:t>
      </w:r>
      <w:bookmarkStart w:id="0" w:name="_GoBack"/>
      <w:bookmarkEnd w:id="0"/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6416ED"/>
    <w:multiLevelType w:val="singleLevel"/>
    <w:tmpl w:val="DD6416ED"/>
    <w:lvl w:ilvl="0" w:tentative="0">
      <w:start w:val="1"/>
      <w:numFmt w:val="decimal"/>
      <w:suff w:val="space"/>
      <w:lvlText w:val="(%1)"/>
      <w:lvlJc w:val="left"/>
      <w:pPr>
        <w:ind w:left="-113" w:firstLine="113"/>
      </w:pPr>
      <w:rPr>
        <w:rFonts w:hint="default" w:ascii="宋体" w:hAnsi="宋体" w:eastAsia="宋体" w:cs="宋体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iNTMwYzZiMmI1NjVlMDcyODY0MjdmYTEyMWI0ZmMifQ=="/>
  </w:docVars>
  <w:rsids>
    <w:rsidRoot w:val="00000000"/>
    <w:rsid w:val="00540EFD"/>
    <w:rsid w:val="03ED4EC1"/>
    <w:rsid w:val="15826B8D"/>
    <w:rsid w:val="1F424327"/>
    <w:rsid w:val="22C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877</Characters>
  <Lines>0</Lines>
  <Paragraphs>0</Paragraphs>
  <TotalTime>40</TotalTime>
  <ScaleCrop>false</ScaleCrop>
  <LinksUpToDate>false</LinksUpToDate>
  <CharactersWithSpaces>877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2026-06-22T06:57:00Z</dcterms:created>
  <dc:creator>59141</dc:creator>
  <cp:lastModifiedBy>赵飒培</cp:lastModifiedBy>
  <dcterms:modified xsi:type="dcterms:W3CDTF">2026-07-28T09:06:49Z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eyJoZGlkIjoiYzBiNTMwYzZiMmI1NjVlMDcyODY0MjdmYTEyMWI0ZmMiLCJ1c2VySWQiOiIxNDc0OTExMDA2In0=</vt:lpwstr>
  </property>
  <property fmtid="{D5CDD505-2E9C-101B-9397-08002B2CF9AE}" pid="4" name="ICV">
    <vt:lpwstr>347FA45F5A5547B59AA7BE21A29C4B04</vt:lpwstr>
  </property>
</Properties>
</file>