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院前急救系统维保服务采购项目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2026年7月17日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sz w:val="32"/>
          <w:szCs w:val="32"/>
          <w:lang w:val="en-US" w:eastAsia="zh-CN"/>
        </w:rPr>
      </w:pPr>
      <w:r>
        <w:rPr>
          <w:rFonts w:hint="eastAsia"/>
          <w:sz w:val="32"/>
          <w:szCs w:val="32"/>
          <w:lang w:val="en-US" w:eastAsia="zh-CN"/>
        </w:rPr>
        <w:t>科室确认：</w:t>
      </w:r>
    </w:p>
    <w:p w14:paraId="524E558B">
      <w:pPr>
        <w:pStyle w:val="15"/>
        <w:rPr>
          <w:rFonts w:hint="eastAsia"/>
          <w:sz w:val="32"/>
          <w:szCs w:val="32"/>
          <w:lang w:val="en-US" w:eastAsia="zh-CN"/>
        </w:rPr>
      </w:pP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院前急救系统维保服务采购项目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院前急救系统维保服务采购项目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04990B14">
      <w:pPr>
        <w:numPr>
          <w:ilvl w:val="0"/>
          <w:numId w:val="0"/>
        </w:num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为我院院前急救系统提供维保服务，具体要求见附件。</w:t>
      </w:r>
    </w:p>
    <w:p w14:paraId="638874AF">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服务年限：三年</w:t>
      </w:r>
    </w:p>
    <w:p w14:paraId="2E0DB4EB">
      <w:pPr>
        <w:numPr>
          <w:ilvl w:val="0"/>
          <w:numId w:val="0"/>
        </w:num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项目预算：25000元/年</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具有合法的经营资质，经营范围包含信息技术服务、系统运维等相关内容</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医疗器械经营许可证、法人</w:t>
      </w:r>
      <w:r>
        <w:rPr>
          <w:rFonts w:hint="eastAsia" w:ascii="仿宋_GB2312" w:eastAsia="仿宋_GB2312"/>
          <w:color w:val="FF0000"/>
          <w:sz w:val="32"/>
          <w:szCs w:val="32"/>
          <w:lang w:eastAsia="zh-CN"/>
        </w:rPr>
        <w:t>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9624A61">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04498A99">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2F5C773">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6AA64035">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424F4C7">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CDC909C">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EC5FDB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5212508">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35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服务方案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25</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35</w:t>
            </w:r>
            <w:bookmarkStart w:id="15" w:name="_GoBack"/>
            <w:bookmarkEnd w:id="15"/>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服务方案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keepNext w:val="0"/>
              <w:keepLines w:val="0"/>
              <w:widowControl/>
              <w:suppressLineNumbers w:val="0"/>
              <w:jc w:val="left"/>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根据服务方案在0-40分范围内打分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86"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424" w:type="dxa"/>
            <w:vAlign w:val="center"/>
          </w:tcPr>
          <w:p w14:paraId="78884872">
            <w:pPr>
              <w:spacing w:before="120" w:after="120"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服务团队与保障能力（15分）</w:t>
            </w:r>
          </w:p>
        </w:tc>
        <w:tc>
          <w:tcPr>
            <w:tcW w:w="5157" w:type="dxa"/>
            <w:vAlign w:val="center"/>
          </w:tcPr>
          <w:p w14:paraId="092D2AB5">
            <w:pPr>
              <w:keepNext w:val="0"/>
              <w:keepLines w:val="0"/>
              <w:widowControl/>
              <w:suppressLineNumbers w:val="0"/>
              <w:jc w:val="left"/>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ascii="宋体" w:hAnsi="宋体" w:eastAsia="宋体" w:cs="宋体"/>
                <w:kern w:val="0"/>
                <w:sz w:val="24"/>
                <w:szCs w:val="24"/>
                <w:lang w:val="en-US" w:eastAsia="zh-CN" w:bidi="ar"/>
              </w:rPr>
              <w:t>根据技术团队配置、7×24小时值守保障、应急响应机制</w:t>
            </w:r>
            <w:r>
              <w:rPr>
                <w:rFonts w:hint="eastAsia" w:ascii="宋体" w:hAnsi="宋体" w:eastAsia="宋体" w:cs="宋体"/>
                <w:kern w:val="0"/>
                <w:sz w:val="24"/>
                <w:szCs w:val="24"/>
                <w:lang w:val="en-US" w:eastAsia="zh-CN" w:bidi="ar"/>
              </w:rPr>
              <w:t>等内容在0-15分范围内</w:t>
            </w:r>
            <w:r>
              <w:rPr>
                <w:rFonts w:ascii="宋体" w:hAnsi="宋体" w:eastAsia="宋体" w:cs="宋体"/>
                <w:kern w:val="0"/>
                <w:sz w:val="24"/>
                <w:szCs w:val="24"/>
                <w:lang w:val="en-US" w:eastAsia="zh-CN" w:bidi="ar"/>
              </w:rPr>
              <w:t>打分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486"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FFBBB19">
            <w:pPr>
              <w:keepNext w:val="0"/>
              <w:keepLines w:val="0"/>
              <w:widowControl/>
              <w:suppressLineNumbers w:val="0"/>
              <w:jc w:val="left"/>
              <w:rPr>
                <w:rFonts w:ascii="宋体" w:hAnsi="宋体" w:cs="宋体"/>
                <w:color w:val="000000" w:themeColor="text1"/>
                <w:kern w:val="0"/>
                <w:szCs w:val="21"/>
                <w14:textFill>
                  <w14:solidFill>
                    <w14:schemeClr w14:val="tx1"/>
                  </w14:solidFill>
                </w14:textFill>
              </w:rPr>
            </w:pPr>
            <w:r>
              <w:rPr>
                <w:rFonts w:ascii="宋体" w:hAnsi="宋体" w:eastAsia="宋体" w:cs="宋体"/>
                <w:kern w:val="0"/>
                <w:sz w:val="24"/>
                <w:szCs w:val="24"/>
                <w:lang w:val="en-US" w:eastAsia="zh-CN" w:bidi="ar"/>
              </w:rPr>
              <w:t>近3年同类急救系统、医疗信息化维保服务业绩，每提供1份有效合同业绩得5分，最高15分（需提供合同复印件佐证）。</w:t>
            </w:r>
          </w:p>
        </w:tc>
      </w:tr>
    </w:tbl>
    <w:p w14:paraId="52B6150F">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3213AA42">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B99A7DC">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微软雅黑" w:eastAsia="微软雅黑"/>
          <w:color w:val="000000"/>
          <w:sz w:val="44"/>
          <w:szCs w:val="44"/>
        </w:rPr>
      </w:pPr>
      <w:r>
        <w:rPr>
          <w:rFonts w:ascii="微软雅黑" w:eastAsia="微软雅黑"/>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微软雅黑" w:eastAsia="微软雅黑"/>
          <w:color w:val="000000"/>
          <w:sz w:val="44"/>
          <w:szCs w:val="44"/>
        </w:rPr>
      </w:pPr>
      <w:r>
        <w:rPr>
          <w:rFonts w:hint="eastAsia" w:ascii="微软雅黑" w:eastAsia="微软雅黑"/>
          <w:color w:val="000000"/>
          <w:sz w:val="44"/>
          <w:szCs w:val="44"/>
          <w:lang w:eastAsia="zh-CN"/>
        </w:rPr>
        <w:t>采购</w:t>
      </w:r>
      <w:r>
        <w:rPr>
          <w:rFonts w:hint="eastAsia" w:ascii="微软雅黑" w:eastAsia="微软雅黑"/>
          <w:color w:val="000000"/>
          <w:sz w:val="44"/>
          <w:szCs w:val="44"/>
        </w:rPr>
        <w:t>公告名称</w:t>
      </w:r>
    </w:p>
    <w:p w14:paraId="01A356EE">
      <w:pPr>
        <w:jc w:val="center"/>
        <w:rPr>
          <w:rFonts w:ascii="微软雅黑" w:eastAsia="微软雅黑"/>
          <w:color w:val="000000"/>
          <w:sz w:val="44"/>
          <w:szCs w:val="44"/>
        </w:rPr>
      </w:pPr>
    </w:p>
    <w:p w14:paraId="1D074994">
      <w:pPr>
        <w:jc w:val="center"/>
        <w:rPr>
          <w:rFonts w:ascii="宋体" w:hAnsi="宋体"/>
          <w:b/>
          <w:color w:val="000000"/>
          <w:sz w:val="32"/>
          <w:szCs w:val="32"/>
        </w:rPr>
      </w:pPr>
      <w:r>
        <w:rPr>
          <w:rFonts w:hint="eastAsia" w:ascii="微软雅黑" w:eastAsia="微软雅黑"/>
          <w:color w:val="000000"/>
          <w:sz w:val="72"/>
          <w:szCs w:val="72"/>
          <w:lang w:eastAsia="zh-CN"/>
        </w:rPr>
        <w:t>采购响应</w:t>
      </w:r>
      <w:r>
        <w:rPr>
          <w:rFonts w:hint="eastAsia" w:ascii="微软雅黑" w:eastAsia="微软雅黑"/>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985E9D5">
      <w:pPr>
        <w:pStyle w:val="15"/>
        <w:rPr>
          <w:rFonts w:hint="eastAsia" w:ascii="宋体" w:hAnsi="宋体"/>
          <w:b/>
          <w:color w:val="000000"/>
          <w:sz w:val="32"/>
          <w:szCs w:val="32"/>
        </w:rPr>
      </w:pPr>
    </w:p>
    <w:p w14:paraId="5FE888BB">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F80C50B">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微软雅黑" w:eastAsia="微软雅黑"/>
          <w:color w:val="000000"/>
          <w:sz w:val="36"/>
          <w:szCs w:val="36"/>
        </w:rPr>
      </w:pPr>
      <w:r>
        <w:rPr>
          <w:rFonts w:hint="eastAsia" w:ascii="微软雅黑" w:eastAsia="微软雅黑"/>
          <w:color w:val="000000"/>
          <w:sz w:val="36"/>
          <w:szCs w:val="36"/>
          <w:lang w:eastAsia="zh-CN"/>
        </w:rPr>
        <w:t>响应</w:t>
      </w:r>
      <w:r>
        <w:rPr>
          <w:rFonts w:hint="eastAsia" w:ascii="微软雅黑" w:eastAsia="微软雅黑"/>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2CAA815D">
            <w:pPr>
              <w:jc w:val="left"/>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、各类证书等</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专业技术团队</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lang w:val="en-US" w:eastAsia="zh-CN"/>
              </w:rPr>
              <w:t>服务方案</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w:t>
            </w:r>
          </w:p>
        </w:tc>
        <w:tc>
          <w:tcPr>
            <w:tcW w:w="5587" w:type="dxa"/>
            <w:tcBorders>
              <w:top w:val="single" w:color="auto" w:sz="4" w:space="0"/>
              <w:bottom w:val="single" w:color="auto" w:sz="4" w:space="0"/>
            </w:tcBorders>
            <w:vAlign w:val="center"/>
          </w:tcPr>
          <w:p w14:paraId="28D092FF">
            <w:pPr>
              <w:rPr>
                <w:rFonts w:ascii="仿宋" w:hAnsi="仿宋" w:eastAsia="仿宋" w:cs="宋体"/>
                <w:b/>
                <w:bCs/>
                <w:color w:val="C00000"/>
                <w:kern w:val="0"/>
                <w:sz w:val="22"/>
                <w:szCs w:val="21"/>
              </w:rPr>
            </w:pP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4D826833">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微软雅黑" w:eastAsia="微软雅黑"/>
          <w:color w:val="000000"/>
          <w:sz w:val="44"/>
          <w:szCs w:val="44"/>
        </w:rPr>
      </w:pPr>
      <w:r>
        <w:rPr>
          <w:rFonts w:hint="eastAsia" w:ascii="黑体" w:eastAsia="黑体"/>
          <w:color w:val="000000"/>
          <w:sz w:val="32"/>
          <w:szCs w:val="32"/>
        </w:rPr>
        <w:t xml:space="preserve">附件1                </w:t>
      </w:r>
      <w:r>
        <w:rPr>
          <w:rFonts w:hint="eastAsia" w:ascii="微软雅黑" w:eastAsia="微软雅黑"/>
          <w:color w:val="000000"/>
          <w:sz w:val="44"/>
          <w:szCs w:val="44"/>
        </w:rPr>
        <w:t>目  录</w:t>
      </w:r>
    </w:p>
    <w:p w14:paraId="0FCCD5CC">
      <w:pPr>
        <w:spacing w:line="500" w:lineRule="exact"/>
        <w:rPr>
          <w:rFonts w:ascii="微软雅黑" w:eastAsia="微软雅黑"/>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320878640"/>
      <w:bookmarkStart w:id="1" w:name="_Toc9548"/>
      <w:bookmarkStart w:id="2" w:name="_Toc258360158"/>
      <w:bookmarkStart w:id="3" w:name="_Toc219626747"/>
      <w:bookmarkStart w:id="4" w:name="_Toc261708863"/>
      <w:bookmarkStart w:id="5" w:name="_Toc17030"/>
      <w:bookmarkStart w:id="6" w:name="_Toc337475854"/>
      <w:bookmarkStart w:id="7" w:name="_Toc258360269"/>
      <w:bookmarkStart w:id="8" w:name="_Toc258354146"/>
      <w:bookmarkStart w:id="9" w:name="_Toc337554724"/>
      <w:bookmarkStart w:id="10" w:name="_Toc15313"/>
      <w:bookmarkStart w:id="11" w:name="_Toc304219257"/>
      <w:bookmarkStart w:id="12" w:name="_Toc10762"/>
      <w:bookmarkStart w:id="13" w:name="_Toc258333636"/>
      <w:bookmarkStart w:id="14" w:name="_Toc248896063"/>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微软雅黑" w:eastAsia="微软雅黑"/>
          <w:color w:val="000000"/>
          <w:sz w:val="44"/>
          <w:szCs w:val="44"/>
        </w:rPr>
      </w:pPr>
    </w:p>
    <w:p w14:paraId="4166B67D">
      <w:pPr>
        <w:spacing w:line="480" w:lineRule="exact"/>
        <w:jc w:val="center"/>
        <w:rPr>
          <w:rFonts w:ascii="微软雅黑" w:eastAsia="微软雅黑"/>
          <w:color w:val="000000"/>
          <w:sz w:val="44"/>
          <w:szCs w:val="44"/>
        </w:rPr>
      </w:pPr>
    </w:p>
    <w:p w14:paraId="60A71B85">
      <w:pPr>
        <w:spacing w:line="480" w:lineRule="exact"/>
        <w:jc w:val="center"/>
        <w:rPr>
          <w:rFonts w:ascii="微软雅黑" w:eastAsia="微软雅黑"/>
          <w:color w:val="000000"/>
          <w:sz w:val="44"/>
          <w:szCs w:val="44"/>
        </w:rPr>
      </w:pPr>
    </w:p>
    <w:p w14:paraId="32A65E0D">
      <w:pPr>
        <w:pStyle w:val="15"/>
        <w:rPr>
          <w:rFonts w:ascii="微软雅黑" w:eastAsia="微软雅黑"/>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微软雅黑" w:eastAsia="微软雅黑"/>
          <w:color w:val="000000"/>
          <w:sz w:val="44"/>
          <w:szCs w:val="44"/>
        </w:rPr>
      </w:pPr>
    </w:p>
    <w:p w14:paraId="29EEE8D6">
      <w:pPr>
        <w:pStyle w:val="15"/>
        <w:rPr>
          <w:rFonts w:hint="eastAsia" w:ascii="微软雅黑"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微软雅黑" w:eastAsia="微软雅黑"/>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微软雅黑" w:eastAsia="微软雅黑"/>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微软雅黑" w:hAnsi="宋体" w:eastAsia="微软雅黑"/>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微软雅黑" w:hAnsi="宋体" w:eastAsia="微软雅黑"/>
          <w:color w:val="000000"/>
          <w:sz w:val="44"/>
          <w:szCs w:val="44"/>
        </w:rPr>
        <w:t>法人授权委托书</w:t>
      </w:r>
    </w:p>
    <w:p w14:paraId="6412E8AB">
      <w:pPr>
        <w:spacing w:line="500" w:lineRule="exact"/>
        <w:jc w:val="center"/>
        <w:rPr>
          <w:rFonts w:ascii="微软雅黑" w:hAnsi="宋体" w:eastAsia="微软雅黑"/>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微软雅黑" w:hAnsi="宋体" w:eastAsia="微软雅黑"/>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微软雅黑" w:hAnsi="宋体" w:eastAsia="微软雅黑"/>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微软雅黑" w:hAnsi="宋体" w:eastAsia="微软雅黑"/>
          <w:color w:val="000000"/>
          <w:sz w:val="44"/>
          <w:szCs w:val="44"/>
          <w:lang w:val="en-US" w:eastAsia="zh-CN"/>
        </w:rPr>
        <w:t>供应商廉洁自律</w:t>
      </w:r>
      <w:r>
        <w:rPr>
          <w:rFonts w:hint="eastAsia" w:ascii="微软雅黑" w:hAnsi="宋体" w:eastAsia="微软雅黑"/>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A849ED">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5768F2"/>
    <w:rsid w:val="0970184A"/>
    <w:rsid w:val="09891DDE"/>
    <w:rsid w:val="09984B6B"/>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2C745C"/>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AD1F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649FA"/>
    <w:rsid w:val="3C8F1C55"/>
    <w:rsid w:val="3CCF593D"/>
    <w:rsid w:val="3DA0606C"/>
    <w:rsid w:val="3DEC493C"/>
    <w:rsid w:val="3E321BBC"/>
    <w:rsid w:val="3EB831EA"/>
    <w:rsid w:val="3EC01209"/>
    <w:rsid w:val="3EDC78BB"/>
    <w:rsid w:val="3EEB7664"/>
    <w:rsid w:val="406D02E5"/>
    <w:rsid w:val="42B16402"/>
    <w:rsid w:val="435D287E"/>
    <w:rsid w:val="44504B88"/>
    <w:rsid w:val="44B67130"/>
    <w:rsid w:val="44EC6B68"/>
    <w:rsid w:val="456841B6"/>
    <w:rsid w:val="457B6881"/>
    <w:rsid w:val="4656733B"/>
    <w:rsid w:val="46710830"/>
    <w:rsid w:val="46BB2C0A"/>
    <w:rsid w:val="47552A75"/>
    <w:rsid w:val="48372AC7"/>
    <w:rsid w:val="486D7AF7"/>
    <w:rsid w:val="493C56B1"/>
    <w:rsid w:val="494804BB"/>
    <w:rsid w:val="495A2A50"/>
    <w:rsid w:val="4A2A20B9"/>
    <w:rsid w:val="4A357983"/>
    <w:rsid w:val="4A606796"/>
    <w:rsid w:val="4A661B7E"/>
    <w:rsid w:val="4B4638AD"/>
    <w:rsid w:val="4B70660F"/>
    <w:rsid w:val="4B7C13C2"/>
    <w:rsid w:val="4B9C1C97"/>
    <w:rsid w:val="4BC500AA"/>
    <w:rsid w:val="4C1C5AD5"/>
    <w:rsid w:val="4E412735"/>
    <w:rsid w:val="4FCE5CD6"/>
    <w:rsid w:val="4FF73A24"/>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257220"/>
    <w:rsid w:val="57575861"/>
    <w:rsid w:val="585E25FF"/>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5D65D8"/>
    <w:rsid w:val="649D2897"/>
    <w:rsid w:val="64BF3E0B"/>
    <w:rsid w:val="64E26821"/>
    <w:rsid w:val="650A5D90"/>
    <w:rsid w:val="65207F71"/>
    <w:rsid w:val="65F33CC9"/>
    <w:rsid w:val="66016CC0"/>
    <w:rsid w:val="67C71CC5"/>
    <w:rsid w:val="695B01DF"/>
    <w:rsid w:val="695C7637"/>
    <w:rsid w:val="69B63885"/>
    <w:rsid w:val="6A3805EE"/>
    <w:rsid w:val="6A67750E"/>
    <w:rsid w:val="6B0925EE"/>
    <w:rsid w:val="6BDA23AB"/>
    <w:rsid w:val="6BF3161E"/>
    <w:rsid w:val="6CD8518D"/>
    <w:rsid w:val="6CEF1588"/>
    <w:rsid w:val="6ECA7999"/>
    <w:rsid w:val="6F340F65"/>
    <w:rsid w:val="6F7B0CA4"/>
    <w:rsid w:val="6F8E4227"/>
    <w:rsid w:val="6F90547F"/>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6E97C27"/>
    <w:rsid w:val="77472654"/>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3448</Words>
  <Characters>3581</Characters>
  <Lines>55</Lines>
  <Paragraphs>15</Paragraphs>
  <TotalTime>311</TotalTime>
  <ScaleCrop>false</ScaleCrop>
  <LinksUpToDate>false</LinksUpToDate>
  <CharactersWithSpaces>4072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2026-07-16T01:02:00Z</cp:lastPrinted>
  <dcterms:modified xsi:type="dcterms:W3CDTF">2026-07-17T02:30:43Z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1E02C2BFCA834109A2D7CD5131A323E4_13</vt:lpwstr>
  </property>
  <property fmtid="{D5CDD505-2E9C-101B-9397-08002B2CF9AE}" pid="4" name="KSOTemplateDocerSaveRecord">
    <vt:lpwstr>eyJoZGlkIjoiYWU1NDNmY2IxYmMyMzRjZjA2YTM3NGEzN2VhMTM1N2YiLCJ1c2VySWQiOiI4OTgwMjI2MDkifQ==</vt:lpwstr>
  </property>
</Properties>
</file>