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急救车辆定点维修服务采购项目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2026年7月16日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急救车辆定点维修服务采购项目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急救车辆定点维修服务采购项目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04990B14">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医用急救车辆承担院前急救、标本转运、公务通勤等核心保障任务，需持续专业维保保障行车安全。要求响应人具有医疗急救车辆、负压特种车辆维修经验，熟悉急救车辆车载专用设备构造及维修标准，具备完善的24小时应急维修响应机制、有充足的技术人员、抢修车辆配置。</w:t>
      </w:r>
    </w:p>
    <w:p w14:paraId="638874AF">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服务年限：两年</w:t>
      </w:r>
      <w:bookmarkStart w:id="15" w:name="_GoBack"/>
      <w:bookmarkEnd w:id="15"/>
    </w:p>
    <w:p w14:paraId="2E0DB4EB">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项目预算：约165000元/年，清单报价，据实结算，报价清单见附件</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具有合法的经营资质，经营范围包含汽车维修、特种车辆维保等相关内容，具备交通运输部门核发的有效的机动车维修经营备案证明，可承接急救车辆专项维修服务</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624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EC5FDB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521250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 xml:space="preserve">20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维保服务方案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w:t>
            </w:r>
            <w:r>
              <w:rPr>
                <w:rFonts w:hint="eastAsia" w:ascii="宋体" w:hAnsi="宋体" w:cs="宋体"/>
                <w:color w:val="000000" w:themeColor="text1"/>
                <w:szCs w:val="21"/>
                <w:lang w:val="en-US" w:eastAsia="zh-CN"/>
                <w14:textFill>
                  <w14:solidFill>
                    <w14:schemeClr w14:val="tx1"/>
                  </w14:solidFill>
                </w14:textFill>
              </w:rPr>
              <w:t>总价</w:t>
            </w:r>
            <w:r>
              <w:rPr>
                <w:rFonts w:hint="eastAsia" w:ascii="宋体" w:hAnsi="宋体" w:cs="宋体"/>
                <w:color w:val="000000" w:themeColor="text1"/>
                <w:szCs w:val="21"/>
                <w:lang w:eastAsia="zh-CN"/>
                <w14:textFill>
                  <w14:solidFill>
                    <w14:schemeClr w14:val="tx1"/>
                  </w14:solidFill>
                </w14:textFill>
              </w:rPr>
              <w:t>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20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04186CC5">
            <w:pPr>
              <w:keepNext w:val="0"/>
              <w:keepLines w:val="0"/>
              <w:widowControl/>
              <w:suppressLineNumbers w:val="0"/>
              <w:jc w:val="left"/>
            </w:pPr>
            <w:r>
              <w:rPr>
                <w:rFonts w:ascii="宋体" w:hAnsi="宋体" w:eastAsia="宋体" w:cs="宋体"/>
                <w:kern w:val="0"/>
                <w:sz w:val="24"/>
                <w:szCs w:val="24"/>
                <w:lang w:val="en-US" w:eastAsia="zh-CN" w:bidi="ar"/>
              </w:rPr>
              <w:t>1. 整体服务方案完整、贴合急救车辆运维需求，流程清晰、分工明确，包含日常保养、故障维修、应急保障、台账管理全流程，得</w:t>
            </w:r>
            <w:r>
              <w:rPr>
                <w:rFonts w:hint="eastAsia" w:ascii="宋体" w:hAnsi="宋体" w:eastAsia="宋体" w:cs="宋体"/>
                <w:kern w:val="0"/>
                <w:sz w:val="24"/>
                <w:szCs w:val="24"/>
                <w:lang w:val="en-US" w:eastAsia="zh-CN" w:bidi="ar"/>
              </w:rPr>
              <w:t>20</w:t>
            </w:r>
            <w:r>
              <w:rPr>
                <w:rFonts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w:t>
            </w:r>
          </w:p>
          <w:p w14:paraId="57E7C778">
            <w:pPr>
              <w:keepNext w:val="0"/>
              <w:keepLines w:val="0"/>
              <w:widowControl/>
              <w:suppressLineNumbers w:val="0"/>
              <w:jc w:val="left"/>
            </w:pPr>
            <w:r>
              <w:rPr>
                <w:rFonts w:ascii="宋体" w:hAnsi="宋体" w:eastAsia="宋体" w:cs="宋体"/>
                <w:kern w:val="0"/>
                <w:sz w:val="24"/>
                <w:szCs w:val="24"/>
                <w:lang w:val="en-US" w:eastAsia="zh-CN" w:bidi="ar"/>
              </w:rPr>
              <w:t>2. 应急抢修保障方案完善，7×24小时响应机制明确、到场时效、处置流程、备用保障措施详实，得10-15分。</w:t>
            </w:r>
          </w:p>
          <w:p w14:paraId="5DF83241">
            <w:pPr>
              <w:keepNext w:val="0"/>
              <w:keepLines w:val="0"/>
              <w:widowControl/>
              <w:suppressLineNumbers w:val="0"/>
              <w:jc w:val="left"/>
              <w:rPr>
                <w:rFonts w:hint="eastAsia" w:ascii="宋体" w:hAnsi="宋体" w:cs="宋体" w:eastAsiaTheme="minorEastAsia"/>
                <w:color w:val="000000" w:themeColor="text1"/>
                <w:szCs w:val="21"/>
                <w:lang w:val="en-US" w:eastAsia="zh-CN"/>
                <w14:textFill>
                  <w14:solidFill>
                    <w14:schemeClr w14:val="tx1"/>
                  </w14:solidFill>
                </w14:textFill>
              </w:rPr>
            </w:pPr>
            <w:r>
              <w:rPr>
                <w:rFonts w:ascii="宋体" w:hAnsi="宋体" w:eastAsia="宋体" w:cs="宋体"/>
                <w:kern w:val="0"/>
                <w:sz w:val="24"/>
                <w:szCs w:val="24"/>
                <w:lang w:val="en-US" w:eastAsia="zh-CN" w:bidi="ar"/>
              </w:rPr>
              <w:t>3. 方案基本完整、核心内容齐全，但细节不完善，得5-9分；方案简略、内容缺失较多，得1-4分；无专项方案不得分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86"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424" w:type="dxa"/>
            <w:vAlign w:val="center"/>
          </w:tcPr>
          <w:p w14:paraId="78884872">
            <w:pPr>
              <w:spacing w:before="120" w:after="120"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人员设备及场地配置（20分）</w:t>
            </w:r>
          </w:p>
        </w:tc>
        <w:tc>
          <w:tcPr>
            <w:tcW w:w="5157" w:type="dxa"/>
            <w:vAlign w:val="center"/>
          </w:tcPr>
          <w:p w14:paraId="4D581C76">
            <w:pPr>
              <w:keepNext w:val="0"/>
              <w:keepLines w:val="0"/>
              <w:widowControl/>
              <w:suppressLineNumbers w:val="0"/>
              <w:jc w:val="left"/>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具备固定维修场地、全套专业检测维修设备、拖车应急设备，证明材料齐全，得</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w:t>
            </w:r>
          </w:p>
          <w:p w14:paraId="50565BD4">
            <w:pPr>
              <w:keepNext w:val="0"/>
              <w:keepLines w:val="0"/>
              <w:widowControl/>
              <w:suppressLineNumbers w:val="0"/>
              <w:jc w:val="left"/>
            </w:pPr>
            <w:r>
              <w:rPr>
                <w:rFonts w:ascii="宋体" w:hAnsi="宋体" w:eastAsia="宋体" w:cs="宋体"/>
                <w:kern w:val="0"/>
                <w:sz w:val="24"/>
                <w:szCs w:val="24"/>
                <w:lang w:val="en-US" w:eastAsia="zh-CN" w:bidi="ar"/>
              </w:rPr>
              <w:t>2. 配备持证维修技师3名及以上、专职项目负责人，人员资质齐全、经验丰富，得</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w:t>
            </w:r>
          </w:p>
          <w:p w14:paraId="092D2AB5">
            <w:pPr>
              <w:keepNext w:val="0"/>
              <w:keepLines w:val="0"/>
              <w:widowControl/>
              <w:suppressLineNumbers w:val="0"/>
              <w:jc w:val="left"/>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ascii="宋体" w:hAnsi="宋体" w:eastAsia="宋体" w:cs="宋体"/>
                <w:kern w:val="0"/>
                <w:sz w:val="24"/>
                <w:szCs w:val="24"/>
                <w:lang w:val="en-US" w:eastAsia="zh-CN" w:bidi="ar"/>
              </w:rPr>
              <w:t>3. 人员、设备、场地配置基本满足需求但不完善，得</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分；配置不足、无法满足急救运维需求，得0-</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486"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keepNext w:val="0"/>
              <w:keepLines w:val="0"/>
              <w:widowControl/>
              <w:suppressLineNumbers w:val="0"/>
              <w:jc w:val="left"/>
              <w:rPr>
                <w:rFonts w:ascii="宋体" w:hAnsi="宋体" w:cs="宋体"/>
                <w:color w:val="000000" w:themeColor="text1"/>
                <w:kern w:val="0"/>
                <w:szCs w:val="21"/>
                <w14:textFill>
                  <w14:solidFill>
                    <w14:schemeClr w14:val="tx1"/>
                  </w14:solidFill>
                </w14:textFill>
              </w:rPr>
            </w:pPr>
            <w:r>
              <w:rPr>
                <w:rFonts w:ascii="宋体" w:hAnsi="宋体" w:eastAsia="宋体" w:cs="宋体"/>
                <w:kern w:val="0"/>
                <w:sz w:val="24"/>
                <w:szCs w:val="24"/>
                <w:lang w:val="en-US" w:eastAsia="zh-CN" w:bidi="ar"/>
              </w:rPr>
              <w:t>供应商近3年内具备急救中心、医院救护车定点维修服务业绩的，每提供1份有效合同业绩得3分，最高得10分；普通车辆维修业绩酌情计分，无同类业绩不得分（需提供合同、验收证明等佐证材料）</w:t>
            </w:r>
          </w:p>
        </w:tc>
      </w:tr>
      <w:tr w14:paraId="14BC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4" w:hRule="atLeast"/>
          <w:jc w:val="center"/>
        </w:trPr>
        <w:tc>
          <w:tcPr>
            <w:tcW w:w="1486" w:type="dxa"/>
            <w:vAlign w:val="center"/>
          </w:tcPr>
          <w:p w14:paraId="71EEBBC2">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019EF8EE">
            <w:pPr>
              <w:spacing w:before="120" w:after="120"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售后服务及质保承诺（10分）</w:t>
            </w:r>
          </w:p>
        </w:tc>
        <w:tc>
          <w:tcPr>
            <w:tcW w:w="5157" w:type="dxa"/>
            <w:vAlign w:val="center"/>
          </w:tcPr>
          <w:p w14:paraId="5BEE585A">
            <w:pPr>
              <w:keepNext w:val="0"/>
              <w:keepLines w:val="0"/>
              <w:widowControl/>
              <w:suppressLineNumbers w:val="0"/>
              <w:jc w:val="left"/>
            </w:pPr>
            <w:r>
              <w:rPr>
                <w:rFonts w:ascii="宋体" w:hAnsi="宋体" w:eastAsia="宋体" w:cs="宋体"/>
                <w:kern w:val="0"/>
                <w:sz w:val="24"/>
                <w:szCs w:val="24"/>
                <w:lang w:val="en-US" w:eastAsia="zh-CN" w:bidi="ar"/>
              </w:rPr>
              <w:t>1. 质保承诺优于采购文件要求、售后保障体系完善、返修机制、投诉处理机制、应急备用方案详实，得7-10分。</w:t>
            </w:r>
          </w:p>
          <w:p w14:paraId="2E44985D">
            <w:pPr>
              <w:keepNext w:val="0"/>
              <w:keepLines w:val="0"/>
              <w:widowControl/>
              <w:suppressLineNumbers w:val="0"/>
              <w:jc w:val="left"/>
            </w:pPr>
            <w:r>
              <w:rPr>
                <w:rFonts w:ascii="宋体" w:hAnsi="宋体" w:eastAsia="宋体" w:cs="宋体"/>
                <w:kern w:val="0"/>
                <w:sz w:val="24"/>
                <w:szCs w:val="24"/>
                <w:lang w:val="en-US" w:eastAsia="zh-CN" w:bidi="ar"/>
              </w:rPr>
              <w:t>2. 满足采购文件基本质保及售后要求，内容完整，得4-6分。</w:t>
            </w:r>
          </w:p>
          <w:p w14:paraId="504694D4">
            <w:pPr>
              <w:keepNext w:val="0"/>
              <w:keepLines w:val="0"/>
              <w:widowControl/>
              <w:suppressLineNumbers w:val="0"/>
              <w:jc w:val="left"/>
              <w:rPr>
                <w:rFonts w:hint="eastAsia" w:ascii="宋体" w:hAnsi="宋体" w:cs="宋体"/>
                <w:color w:val="000000" w:themeColor="text1"/>
                <w:kern w:val="0"/>
                <w:szCs w:val="21"/>
                <w14:textFill>
                  <w14:solidFill>
                    <w14:schemeClr w14:val="tx1"/>
                  </w14:solidFill>
                </w14:textFill>
              </w:rPr>
            </w:pPr>
            <w:r>
              <w:rPr>
                <w:rFonts w:ascii="宋体" w:hAnsi="宋体" w:eastAsia="宋体" w:cs="宋体"/>
                <w:kern w:val="0"/>
                <w:sz w:val="24"/>
                <w:szCs w:val="24"/>
                <w:lang w:val="en-US" w:eastAsia="zh-CN" w:bidi="ar"/>
              </w:rPr>
              <w:t>3. 售后及质保内容简略、部分条款缺失，得1-3分；无专项承诺不得分。</w:t>
            </w:r>
          </w:p>
        </w:tc>
      </w:tr>
    </w:tbl>
    <w:p w14:paraId="52B6150F">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756E3646">
      <w:pPr>
        <w:pStyle w:val="15"/>
        <w:rPr>
          <w:rFonts w:hint="eastAsia" w:ascii="黑体" w:hAnsi="黑体" w:eastAsia="黑体" w:cs="黑体"/>
          <w:sz w:val="32"/>
          <w:szCs w:val="32"/>
          <w:lang w:eastAsia="zh-CN"/>
        </w:rPr>
      </w:pPr>
    </w:p>
    <w:p w14:paraId="1A604C16">
      <w:pPr>
        <w:pStyle w:val="15"/>
        <w:rPr>
          <w:rFonts w:hint="eastAsia" w:ascii="黑体" w:hAnsi="黑体" w:eastAsia="黑体" w:cs="黑体"/>
          <w:sz w:val="32"/>
          <w:szCs w:val="32"/>
          <w:lang w:eastAsia="zh-CN"/>
        </w:rPr>
      </w:pPr>
    </w:p>
    <w:p w14:paraId="7F5C8960">
      <w:pPr>
        <w:pStyle w:val="15"/>
        <w:rPr>
          <w:rFonts w:hint="eastAsia" w:ascii="黑体" w:hAnsi="黑体" w:eastAsia="黑体" w:cs="黑体"/>
          <w:sz w:val="32"/>
          <w:szCs w:val="32"/>
          <w:lang w:eastAsia="zh-CN"/>
        </w:rPr>
      </w:pPr>
    </w:p>
    <w:p w14:paraId="188DAC37">
      <w:pPr>
        <w:pStyle w:val="15"/>
        <w:rPr>
          <w:rFonts w:hint="eastAsia" w:ascii="黑体" w:hAnsi="黑体" w:eastAsia="黑体" w:cs="黑体"/>
          <w:sz w:val="32"/>
          <w:szCs w:val="32"/>
          <w:lang w:eastAsia="zh-CN"/>
        </w:rPr>
      </w:pPr>
    </w:p>
    <w:p w14:paraId="5A1D5671">
      <w:pPr>
        <w:pStyle w:val="15"/>
        <w:rPr>
          <w:rFonts w:hint="eastAsia" w:ascii="黑体" w:hAnsi="黑体" w:eastAsia="黑体" w:cs="黑体"/>
          <w:sz w:val="32"/>
          <w:szCs w:val="32"/>
          <w:lang w:eastAsia="zh-CN"/>
        </w:rPr>
      </w:pPr>
    </w:p>
    <w:p w14:paraId="38B7F4B9">
      <w:pPr>
        <w:pStyle w:val="15"/>
        <w:rPr>
          <w:rFonts w:hint="eastAsia" w:ascii="黑体" w:hAnsi="黑体" w:eastAsia="黑体" w:cs="黑体"/>
          <w:sz w:val="32"/>
          <w:szCs w:val="32"/>
          <w:lang w:eastAsia="zh-CN"/>
        </w:rPr>
      </w:pPr>
    </w:p>
    <w:p w14:paraId="1FD2DDE6">
      <w:pPr>
        <w:pStyle w:val="15"/>
        <w:rPr>
          <w:rFonts w:hint="eastAsia" w:ascii="黑体" w:hAnsi="黑体" w:eastAsia="黑体" w:cs="黑体"/>
          <w:sz w:val="32"/>
          <w:szCs w:val="32"/>
          <w:lang w:eastAsia="zh-CN"/>
        </w:rPr>
      </w:pPr>
    </w:p>
    <w:p w14:paraId="5A6F76AA">
      <w:pPr>
        <w:pStyle w:val="15"/>
        <w:rPr>
          <w:rFonts w:hint="eastAsia" w:ascii="黑体" w:hAnsi="黑体" w:eastAsia="黑体" w:cs="黑体"/>
          <w:sz w:val="32"/>
          <w:szCs w:val="32"/>
          <w:lang w:eastAsia="zh-CN"/>
        </w:rPr>
      </w:pPr>
    </w:p>
    <w:p w14:paraId="552BA46C">
      <w:pPr>
        <w:pStyle w:val="15"/>
        <w:rPr>
          <w:rFonts w:hint="eastAsia" w:ascii="黑体" w:hAnsi="黑体" w:eastAsia="黑体" w:cs="黑体"/>
          <w:sz w:val="32"/>
          <w:szCs w:val="32"/>
          <w:lang w:eastAsia="zh-CN"/>
        </w:rPr>
      </w:pPr>
    </w:p>
    <w:p w14:paraId="322EF04E">
      <w:pPr>
        <w:pStyle w:val="15"/>
        <w:rPr>
          <w:rFonts w:hint="eastAsia" w:ascii="黑体" w:hAnsi="黑体" w:eastAsia="黑体" w:cs="黑体"/>
          <w:sz w:val="32"/>
          <w:szCs w:val="32"/>
          <w:lang w:eastAsia="zh-CN"/>
        </w:rPr>
      </w:pPr>
    </w:p>
    <w:p w14:paraId="3EBC977B">
      <w:pPr>
        <w:pStyle w:val="15"/>
        <w:rPr>
          <w:rFonts w:hint="eastAsia" w:ascii="黑体" w:hAnsi="黑体" w:eastAsia="黑体" w:cs="黑体"/>
          <w:sz w:val="32"/>
          <w:szCs w:val="32"/>
          <w:lang w:eastAsia="zh-CN"/>
        </w:rPr>
      </w:pPr>
    </w:p>
    <w:p w14:paraId="314D457F">
      <w:pPr>
        <w:pStyle w:val="15"/>
        <w:rPr>
          <w:rFonts w:hint="eastAsia" w:ascii="黑体" w:hAnsi="黑体" w:eastAsia="黑体" w:cs="黑体"/>
          <w:sz w:val="32"/>
          <w:szCs w:val="32"/>
          <w:lang w:eastAsia="zh-CN"/>
        </w:rPr>
      </w:pPr>
    </w:p>
    <w:p w14:paraId="64654979">
      <w:pPr>
        <w:pStyle w:val="15"/>
        <w:rPr>
          <w:rFonts w:hint="eastAsia" w:ascii="黑体" w:hAnsi="黑体" w:eastAsia="黑体" w:cs="黑体"/>
          <w:sz w:val="32"/>
          <w:szCs w:val="32"/>
          <w:lang w:eastAsia="zh-CN"/>
        </w:rPr>
      </w:pPr>
    </w:p>
    <w:p w14:paraId="1C6AE980">
      <w:pPr>
        <w:pStyle w:val="15"/>
        <w:rPr>
          <w:rFonts w:hint="eastAsia" w:ascii="黑体" w:hAnsi="黑体" w:eastAsia="黑体" w:cs="黑体"/>
          <w:sz w:val="32"/>
          <w:szCs w:val="32"/>
          <w:lang w:eastAsia="zh-CN"/>
        </w:rPr>
      </w:pPr>
    </w:p>
    <w:p w14:paraId="291D48E3">
      <w:pPr>
        <w:pStyle w:val="15"/>
        <w:rPr>
          <w:rFonts w:hint="eastAsia" w:ascii="黑体" w:hAnsi="黑体" w:eastAsia="黑体" w:cs="黑体"/>
          <w:sz w:val="32"/>
          <w:szCs w:val="32"/>
          <w:lang w:eastAsia="zh-CN"/>
        </w:rPr>
      </w:pPr>
    </w:p>
    <w:p w14:paraId="6E64E041">
      <w:pPr>
        <w:pStyle w:val="15"/>
        <w:rPr>
          <w:rFonts w:hint="eastAsia" w:ascii="黑体" w:hAnsi="黑体" w:eastAsia="黑体" w:cs="黑体"/>
          <w:sz w:val="32"/>
          <w:szCs w:val="32"/>
          <w:lang w:eastAsia="zh-CN"/>
        </w:rPr>
      </w:pPr>
    </w:p>
    <w:p w14:paraId="20E34239">
      <w:pPr>
        <w:pStyle w:val="15"/>
        <w:rPr>
          <w:rFonts w:hint="eastAsia" w:ascii="黑体" w:hAnsi="黑体" w:eastAsia="黑体" w:cs="黑体"/>
          <w:sz w:val="32"/>
          <w:szCs w:val="32"/>
          <w:lang w:eastAsia="zh-CN"/>
        </w:rPr>
      </w:pPr>
    </w:p>
    <w:p w14:paraId="3213AA42">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微软雅黑" w:eastAsia="微软雅黑"/>
          <w:color w:val="000000"/>
          <w:sz w:val="44"/>
          <w:szCs w:val="44"/>
        </w:rPr>
      </w:pPr>
      <w:r>
        <w:rPr>
          <w:rFonts w:ascii="微软雅黑" w:eastAsia="微软雅黑"/>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微软雅黑" w:eastAsia="微软雅黑"/>
          <w:color w:val="000000"/>
          <w:sz w:val="44"/>
          <w:szCs w:val="44"/>
        </w:rPr>
      </w:pPr>
      <w:r>
        <w:rPr>
          <w:rFonts w:hint="eastAsia" w:ascii="微软雅黑" w:eastAsia="微软雅黑"/>
          <w:color w:val="000000"/>
          <w:sz w:val="44"/>
          <w:szCs w:val="44"/>
          <w:lang w:eastAsia="zh-CN"/>
        </w:rPr>
        <w:t>采购</w:t>
      </w:r>
      <w:r>
        <w:rPr>
          <w:rFonts w:hint="eastAsia" w:ascii="微软雅黑" w:eastAsia="微软雅黑"/>
          <w:color w:val="000000"/>
          <w:sz w:val="44"/>
          <w:szCs w:val="44"/>
        </w:rPr>
        <w:t>公告名称</w:t>
      </w:r>
    </w:p>
    <w:p w14:paraId="01A356EE">
      <w:pPr>
        <w:jc w:val="center"/>
        <w:rPr>
          <w:rFonts w:ascii="微软雅黑" w:eastAsia="微软雅黑"/>
          <w:color w:val="000000"/>
          <w:sz w:val="44"/>
          <w:szCs w:val="44"/>
        </w:rPr>
      </w:pPr>
    </w:p>
    <w:p w14:paraId="1D074994">
      <w:pPr>
        <w:jc w:val="center"/>
        <w:rPr>
          <w:rFonts w:ascii="宋体" w:hAnsi="宋体"/>
          <w:b/>
          <w:color w:val="000000"/>
          <w:sz w:val="32"/>
          <w:szCs w:val="32"/>
        </w:rPr>
      </w:pPr>
      <w:r>
        <w:rPr>
          <w:rFonts w:hint="eastAsia" w:ascii="微软雅黑" w:eastAsia="微软雅黑"/>
          <w:color w:val="000000"/>
          <w:sz w:val="72"/>
          <w:szCs w:val="72"/>
          <w:lang w:eastAsia="zh-CN"/>
        </w:rPr>
        <w:t>采购响应</w:t>
      </w:r>
      <w:r>
        <w:rPr>
          <w:rFonts w:hint="eastAsia" w:ascii="微软雅黑" w:eastAsia="微软雅黑"/>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985E9D5">
      <w:pPr>
        <w:pStyle w:val="15"/>
        <w:rPr>
          <w:rFonts w:hint="eastAsia" w:ascii="宋体" w:hAnsi="宋体"/>
          <w:b/>
          <w:color w:val="000000"/>
          <w:sz w:val="32"/>
          <w:szCs w:val="32"/>
        </w:rPr>
      </w:pPr>
    </w:p>
    <w:p w14:paraId="5FE888BB">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F80C50B">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微软雅黑" w:eastAsia="微软雅黑"/>
          <w:color w:val="000000"/>
          <w:sz w:val="36"/>
          <w:szCs w:val="36"/>
        </w:rPr>
      </w:pPr>
      <w:r>
        <w:rPr>
          <w:rFonts w:hint="eastAsia" w:ascii="微软雅黑" w:eastAsia="微软雅黑"/>
          <w:color w:val="000000"/>
          <w:sz w:val="36"/>
          <w:szCs w:val="36"/>
          <w:lang w:eastAsia="zh-CN"/>
        </w:rPr>
        <w:t>响应</w:t>
      </w:r>
      <w:r>
        <w:rPr>
          <w:rFonts w:hint="eastAsia" w:ascii="微软雅黑" w:eastAsia="微软雅黑"/>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2CAA815D">
            <w:pPr>
              <w:jc w:val="left"/>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、各类证书等</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专业技术团队</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lang w:val="en-US" w:eastAsia="zh-CN"/>
              </w:rPr>
              <w:t>服务方案</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52303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392D210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5EC7E21B">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服务承诺</w:t>
            </w:r>
          </w:p>
        </w:tc>
        <w:tc>
          <w:tcPr>
            <w:tcW w:w="5587" w:type="dxa"/>
            <w:tcBorders>
              <w:top w:val="single" w:color="auto" w:sz="4" w:space="0"/>
              <w:bottom w:val="single" w:color="auto" w:sz="4" w:space="0"/>
            </w:tcBorders>
            <w:vAlign w:val="center"/>
          </w:tcPr>
          <w:p w14:paraId="38D56BA3">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4D826833">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微软雅黑" w:eastAsia="微软雅黑"/>
          <w:color w:val="000000"/>
          <w:sz w:val="44"/>
          <w:szCs w:val="44"/>
        </w:rPr>
      </w:pPr>
      <w:r>
        <w:rPr>
          <w:rFonts w:hint="eastAsia" w:ascii="黑体" w:eastAsia="黑体"/>
          <w:color w:val="000000"/>
          <w:sz w:val="32"/>
          <w:szCs w:val="32"/>
        </w:rPr>
        <w:t xml:space="preserve">附件1                </w:t>
      </w:r>
      <w:r>
        <w:rPr>
          <w:rFonts w:hint="eastAsia" w:ascii="微软雅黑" w:eastAsia="微软雅黑"/>
          <w:color w:val="000000"/>
          <w:sz w:val="44"/>
          <w:szCs w:val="44"/>
        </w:rPr>
        <w:t>目  录</w:t>
      </w:r>
    </w:p>
    <w:p w14:paraId="0FCCD5CC">
      <w:pPr>
        <w:spacing w:line="500" w:lineRule="exact"/>
        <w:rPr>
          <w:rFonts w:ascii="微软雅黑" w:eastAsia="微软雅黑"/>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9548"/>
      <w:bookmarkStart w:id="1" w:name="_Toc337475854"/>
      <w:bookmarkStart w:id="2" w:name="_Toc258360158"/>
      <w:bookmarkStart w:id="3" w:name="_Toc258333636"/>
      <w:bookmarkStart w:id="4" w:name="_Toc258360269"/>
      <w:bookmarkStart w:id="5" w:name="_Toc304219257"/>
      <w:bookmarkStart w:id="6" w:name="_Toc258354146"/>
      <w:bookmarkStart w:id="7" w:name="_Toc219626747"/>
      <w:bookmarkStart w:id="8" w:name="_Toc261708863"/>
      <w:bookmarkStart w:id="9" w:name="_Toc15313"/>
      <w:bookmarkStart w:id="10" w:name="_Toc17030"/>
      <w:bookmarkStart w:id="11" w:name="_Toc337554724"/>
      <w:bookmarkStart w:id="12" w:name="_Toc248896063"/>
      <w:bookmarkStart w:id="13" w:name="_Toc320878640"/>
      <w:bookmarkStart w:id="14" w:name="_Toc10762"/>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微软雅黑" w:eastAsia="微软雅黑"/>
          <w:color w:val="000000"/>
          <w:sz w:val="44"/>
          <w:szCs w:val="44"/>
        </w:rPr>
      </w:pPr>
    </w:p>
    <w:p w14:paraId="4166B67D">
      <w:pPr>
        <w:spacing w:line="480" w:lineRule="exact"/>
        <w:jc w:val="center"/>
        <w:rPr>
          <w:rFonts w:ascii="微软雅黑" w:eastAsia="微软雅黑"/>
          <w:color w:val="000000"/>
          <w:sz w:val="44"/>
          <w:szCs w:val="44"/>
        </w:rPr>
      </w:pPr>
    </w:p>
    <w:p w14:paraId="60A71B85">
      <w:pPr>
        <w:spacing w:line="480" w:lineRule="exact"/>
        <w:jc w:val="center"/>
        <w:rPr>
          <w:rFonts w:ascii="微软雅黑" w:eastAsia="微软雅黑"/>
          <w:color w:val="000000"/>
          <w:sz w:val="44"/>
          <w:szCs w:val="44"/>
        </w:rPr>
      </w:pPr>
    </w:p>
    <w:p w14:paraId="32A65E0D">
      <w:pPr>
        <w:pStyle w:val="15"/>
        <w:rPr>
          <w:rFonts w:ascii="微软雅黑" w:eastAsia="微软雅黑"/>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微软雅黑" w:eastAsia="微软雅黑"/>
          <w:color w:val="000000"/>
          <w:sz w:val="44"/>
          <w:szCs w:val="44"/>
        </w:rPr>
      </w:pPr>
    </w:p>
    <w:p w14:paraId="29EEE8D6">
      <w:pPr>
        <w:pStyle w:val="15"/>
        <w:rPr>
          <w:rFonts w:hint="eastAsia" w:ascii="微软雅黑"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微软雅黑"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微软雅黑" w:eastAsia="微软雅黑"/>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微软雅黑" w:hAnsi="宋体" w:eastAsia="微软雅黑"/>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微软雅黑" w:hAnsi="宋体" w:eastAsia="微软雅黑"/>
          <w:color w:val="000000"/>
          <w:sz w:val="44"/>
          <w:szCs w:val="44"/>
        </w:rPr>
        <w:t>法人授权委托书</w:t>
      </w:r>
    </w:p>
    <w:p w14:paraId="6412E8AB">
      <w:pPr>
        <w:spacing w:line="500" w:lineRule="exact"/>
        <w:jc w:val="center"/>
        <w:rPr>
          <w:rFonts w:ascii="微软雅黑" w:hAnsi="宋体" w:eastAsia="微软雅黑"/>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微软雅黑" w:hAnsi="宋体" w:eastAsia="微软雅黑"/>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微软雅黑" w:hAnsi="宋体" w:eastAsia="微软雅黑"/>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微软雅黑" w:hAnsi="宋体" w:eastAsia="微软雅黑"/>
          <w:color w:val="000000"/>
          <w:sz w:val="44"/>
          <w:szCs w:val="44"/>
          <w:lang w:val="en-US" w:eastAsia="zh-CN"/>
        </w:rPr>
        <w:t>供应商廉洁自律</w:t>
      </w:r>
      <w:r>
        <w:rPr>
          <w:rFonts w:hint="eastAsia" w:ascii="微软雅黑" w:hAnsi="宋体" w:eastAsia="微软雅黑"/>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5768F2"/>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2C745C"/>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0AB0038"/>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AD1F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B831EA"/>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357983"/>
    <w:rsid w:val="4A606796"/>
    <w:rsid w:val="4A661B7E"/>
    <w:rsid w:val="4B4638AD"/>
    <w:rsid w:val="4B70660F"/>
    <w:rsid w:val="4B7C13C2"/>
    <w:rsid w:val="4B9C1C97"/>
    <w:rsid w:val="4BC500AA"/>
    <w:rsid w:val="4C1C5AD5"/>
    <w:rsid w:val="4E412735"/>
    <w:rsid w:val="4FCE5CD6"/>
    <w:rsid w:val="4FF73A24"/>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257220"/>
    <w:rsid w:val="57575861"/>
    <w:rsid w:val="585E25FF"/>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5D65D8"/>
    <w:rsid w:val="649D2897"/>
    <w:rsid w:val="64BF3E0B"/>
    <w:rsid w:val="64E26821"/>
    <w:rsid w:val="650A5D90"/>
    <w:rsid w:val="65207F71"/>
    <w:rsid w:val="65F33CC9"/>
    <w:rsid w:val="66016CC0"/>
    <w:rsid w:val="67C71CC5"/>
    <w:rsid w:val="695B01DF"/>
    <w:rsid w:val="695C7637"/>
    <w:rsid w:val="69B63885"/>
    <w:rsid w:val="6A3805EE"/>
    <w:rsid w:val="6A67750E"/>
    <w:rsid w:val="6B0925EE"/>
    <w:rsid w:val="6BDA23AB"/>
    <w:rsid w:val="6BF3161E"/>
    <w:rsid w:val="6C850965"/>
    <w:rsid w:val="6CD8518D"/>
    <w:rsid w:val="6CEF1588"/>
    <w:rsid w:val="6E874D21"/>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2A439D"/>
    <w:rsid w:val="77472654"/>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4030</Words>
  <Characters>4199</Characters>
  <Lines>55</Lines>
  <Paragraphs>15</Paragraphs>
  <TotalTime>278</TotalTime>
  <ScaleCrop>false</ScaleCrop>
  <LinksUpToDate>false</LinksUpToDate>
  <CharactersWithSpaces>4699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2026-07-16T01:02:00Z</cp:lastPrinted>
  <dcterms:modified xsi:type="dcterms:W3CDTF">2026-07-21T02:29:40Z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1E02C2BFCA834109A2D7CD5131A323E4_13</vt:lpwstr>
  </property>
  <property fmtid="{D5CDD505-2E9C-101B-9397-08002B2CF9AE}" pid="4" name="KSOTemplateDocerSaveRecord">
    <vt:lpwstr>eyJoZGlkIjoiYWU1NDNmY2IxYmMyMzRjZjA2YTM3NGEzN2VhMTM1N2YiLCJ1c2VySWQiOiI4OTgwMjI2MDkifQ==</vt:lpwstr>
  </property>
</Properties>
</file>