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numPr>
          <w:ilvl w:val="0"/>
          <w:numId w:val="4"/>
        </w:numPr>
        <w:ind w:firstLineChars="0"/>
        <w:outlineLvl w:val="2"/>
        <w:rPr>
          <w:b/>
          <w:bCs/>
        </w:rPr>
      </w:pPr>
      <w:bookmarkStart w:id="0" w:name="_Toc134626172"/>
      <w:bookmarkStart w:id="1" w:name="_Toc134626283"/>
      <w:r>
        <w:rPr>
          <w:b/>
          <w:bCs/>
        </w:rPr>
        <w:t>检测</w:t>
      </w:r>
      <w:r>
        <w:rPr>
          <w:rFonts w:hint="eastAsia"/>
          <w:b/>
          <w:bCs/>
        </w:rPr>
        <w:t>范围</w:t>
      </w:r>
    </w:p>
    <w:p>
      <w:pPr>
        <w:spacing w:line="440" w:lineRule="exact"/>
        <w:ind w:firstLine="480" w:firstLineChars="200"/>
        <w:rPr>
          <w:sz w:val="24"/>
        </w:rPr>
      </w:pPr>
      <w:r>
        <w:rPr>
          <w:sz w:val="24"/>
        </w:rPr>
        <w:t>检测类型包括</w:t>
      </w:r>
      <w:r>
        <w:rPr>
          <w:rFonts w:hint="eastAsia"/>
          <w:sz w:val="24"/>
        </w:rPr>
        <w:t>完整性核查</w:t>
      </w:r>
      <w:r>
        <w:rPr>
          <w:sz w:val="24"/>
        </w:rPr>
        <w:t>、</w:t>
      </w:r>
      <w:bookmarkStart w:id="2" w:name="_Hlk168489739"/>
      <w:r>
        <w:rPr>
          <w:sz w:val="24"/>
        </w:rPr>
        <w:t>功能性检测、性能效率检测、易用性检测、信息安全性检测</w:t>
      </w:r>
      <w:bookmarkEnd w:id="2"/>
      <w:r>
        <w:rPr>
          <w:sz w:val="24"/>
        </w:rPr>
        <w:t>。</w:t>
      </w:r>
      <w:r>
        <w:rPr>
          <w:b/>
          <w:bCs/>
          <w:sz w:val="24"/>
        </w:rPr>
        <w:t>包括但不限于上述检测内容。</w:t>
      </w:r>
    </w:p>
    <w:p>
      <w:pPr>
        <w:pStyle w:val="12"/>
        <w:keepNext/>
        <w:keepLines/>
        <w:numPr>
          <w:ilvl w:val="1"/>
          <w:numId w:val="4"/>
        </w:numPr>
        <w:ind w:firstLineChars="0"/>
        <w:outlineLvl w:val="3"/>
        <w:rPr>
          <w:b/>
          <w:bCs/>
        </w:rPr>
      </w:pPr>
      <w:r>
        <w:rPr>
          <w:rFonts w:hint="eastAsia"/>
          <w:b/>
          <w:bCs/>
        </w:rPr>
        <w:t>完整性核查</w:t>
      </w:r>
    </w:p>
    <w:p>
      <w:pPr>
        <w:spacing w:line="360" w:lineRule="auto"/>
        <w:ind w:firstLine="480"/>
        <w:rPr>
          <w:rFonts w:hint="eastAsia"/>
          <w:sz w:val="24"/>
        </w:rPr>
      </w:pPr>
      <w:r>
        <w:rPr>
          <w:rFonts w:hint="eastAsia"/>
          <w:sz w:val="24"/>
        </w:rPr>
        <w:t>根据提供的检测依据文件（如招标文件、投标文件、合同、需规等）及需求变更单，对项目软件所有功能点的完整性进行核查，核对系统软件中实现的功能点是否缺失，实现方式是否与需求要求一致，以及验证所有功能点是否可以正常检测和正常使用。</w:t>
      </w:r>
    </w:p>
    <w:p>
      <w:pPr>
        <w:spacing w:line="360" w:lineRule="auto"/>
        <w:ind w:firstLine="480"/>
        <w:rPr>
          <w:rFonts w:hint="default" w:eastAsia="宋体"/>
          <w:sz w:val="24"/>
          <w:highlight w:val="yellow"/>
          <w:lang w:val="en-US" w:eastAsia="zh-CN"/>
        </w:rPr>
      </w:pPr>
      <w:r>
        <w:rPr>
          <w:rFonts w:hint="eastAsia"/>
          <w:sz w:val="24"/>
          <w:highlight w:val="yellow"/>
          <w:lang w:val="en-US" w:eastAsia="zh-CN"/>
        </w:rPr>
        <w:t>根据国务院办公厅《关于推进医疗联合体建设和发展的指导意见》(国办发〔2017〕32号)及国家卫生健康委等10部门印发的《关于全面推进紧密型县域医疗卫生共同体建设的指导意见》(国卫基层发(2023〕41号)等文件，对项目软件所实现的功能点是否符合国家建设标准进行核查。</w:t>
      </w:r>
    </w:p>
    <w:p>
      <w:pPr>
        <w:pStyle w:val="12"/>
        <w:keepNext/>
        <w:keepLines/>
        <w:numPr>
          <w:ilvl w:val="1"/>
          <w:numId w:val="4"/>
        </w:numPr>
        <w:ind w:firstLineChars="0"/>
        <w:outlineLvl w:val="3"/>
        <w:rPr>
          <w:b/>
          <w:bCs/>
        </w:rPr>
      </w:pPr>
      <w:r>
        <w:rPr>
          <w:b/>
          <w:bCs/>
        </w:rPr>
        <w:t>功能性检测</w:t>
      </w:r>
    </w:p>
    <w:p>
      <w:pPr>
        <w:spacing w:line="360" w:lineRule="auto"/>
        <w:ind w:firstLine="480"/>
        <w:rPr>
          <w:sz w:val="24"/>
        </w:rPr>
      </w:pPr>
      <w:r>
        <w:rPr>
          <w:sz w:val="24"/>
        </w:rPr>
        <w:t>对软件需求规格说明中的明确和隐含的功能需求逐项进行检测，以验证其功能是否满足要求；采用功能分解、等价类划分、边界值分析、判定表、因果图、随机检测、猜错法、正交实验法设计检测用例，确保每一个功能项至少被一个有效类检测用例和一个被认可的无效类检测用例所覆盖。具体要求如下：</w:t>
      </w:r>
    </w:p>
    <w:p>
      <w:pPr>
        <w:pStyle w:val="17"/>
        <w:numPr>
          <w:ilvl w:val="0"/>
          <w:numId w:val="5"/>
        </w:numPr>
        <w:ind w:left="781" w:leftChars="200" w:hanging="361" w:hangingChars="150"/>
        <w:rPr>
          <w:rFonts w:cs="Times New Roman"/>
          <w:szCs w:val="24"/>
        </w:rPr>
      </w:pPr>
      <w:r>
        <w:rPr>
          <w:rFonts w:cs="Times New Roman"/>
          <w:b/>
          <w:bCs/>
          <w:szCs w:val="24"/>
        </w:rPr>
        <w:t>功能完备性</w:t>
      </w:r>
      <w:r>
        <w:rPr>
          <w:rFonts w:cs="Times New Roman"/>
          <w:szCs w:val="24"/>
        </w:rPr>
        <w:t>：指功能集对指定的任务和目标的覆盖程度；功能完备性检测一般需进行：</w:t>
      </w:r>
    </w:p>
    <w:p>
      <w:pPr>
        <w:pStyle w:val="12"/>
        <w:numPr>
          <w:ilvl w:val="0"/>
          <w:numId w:val="6"/>
        </w:numPr>
        <w:ind w:left="870" w:leftChars="300" w:hanging="240" w:hangingChars="100"/>
        <w:rPr>
          <w:rFonts w:cs="Times New Roman"/>
          <w:szCs w:val="24"/>
        </w:rPr>
      </w:pPr>
      <w:r>
        <w:rPr>
          <w:rFonts w:cs="Times New Roman"/>
          <w:szCs w:val="24"/>
        </w:rPr>
        <w:t>在给定的限制范围内，使用相应的环境设施、器材和数据，检测用户文档集中所陈述的所有功能是否全部覆盖。</w:t>
      </w:r>
    </w:p>
    <w:p>
      <w:pPr>
        <w:pStyle w:val="12"/>
        <w:numPr>
          <w:ilvl w:val="0"/>
          <w:numId w:val="6"/>
        </w:numPr>
        <w:ind w:left="870" w:leftChars="300" w:hanging="240" w:hangingChars="100"/>
        <w:rPr>
          <w:rFonts w:cs="Times New Roman"/>
          <w:szCs w:val="24"/>
        </w:rPr>
      </w:pPr>
      <w:r>
        <w:rPr>
          <w:rFonts w:cs="Times New Roman"/>
          <w:szCs w:val="24"/>
        </w:rPr>
        <w:t>检测软件是否符合产品说明所引用的任何需求文档中的全部要求。</w:t>
      </w:r>
    </w:p>
    <w:p>
      <w:pPr>
        <w:pStyle w:val="17"/>
        <w:numPr>
          <w:ilvl w:val="0"/>
          <w:numId w:val="5"/>
        </w:numPr>
        <w:ind w:left="781" w:leftChars="200" w:hanging="361" w:hangingChars="150"/>
        <w:rPr>
          <w:rFonts w:cs="Times New Roman"/>
          <w:szCs w:val="24"/>
        </w:rPr>
      </w:pPr>
      <w:r>
        <w:rPr>
          <w:rFonts w:cs="Times New Roman"/>
          <w:b/>
          <w:bCs/>
          <w:szCs w:val="24"/>
        </w:rPr>
        <w:t>功能正确性</w:t>
      </w:r>
      <w:r>
        <w:rPr>
          <w:rFonts w:cs="Times New Roman"/>
          <w:szCs w:val="24"/>
        </w:rPr>
        <w:t>：指信息系统具有所需精度的正确结果的程度；功能正确性检测一般需进行：</w:t>
      </w:r>
    </w:p>
    <w:p>
      <w:pPr>
        <w:pStyle w:val="12"/>
        <w:numPr>
          <w:ilvl w:val="0"/>
          <w:numId w:val="7"/>
        </w:numPr>
        <w:ind w:left="870" w:leftChars="300" w:hanging="240" w:hangingChars="100"/>
        <w:rPr>
          <w:rFonts w:cs="Times New Roman"/>
          <w:szCs w:val="24"/>
        </w:rPr>
      </w:pPr>
      <w:r>
        <w:rPr>
          <w:rFonts w:cs="Times New Roman"/>
          <w:szCs w:val="24"/>
        </w:rPr>
        <w:t>对具有功能正确性要求的功能，依据等价类法和边界值法选定具有覆盖性的检测数据为输入，设计用例，并计算出这些输入的预期结果。执行用例，记录软件的实际输入结果，比较实际结果与预期结果间的差异。</w:t>
      </w:r>
    </w:p>
    <w:p>
      <w:pPr>
        <w:pStyle w:val="12"/>
        <w:numPr>
          <w:ilvl w:val="0"/>
          <w:numId w:val="7"/>
        </w:numPr>
        <w:ind w:left="870" w:leftChars="300" w:hanging="240" w:hangingChars="100"/>
        <w:rPr>
          <w:rFonts w:cs="Times New Roman"/>
          <w:szCs w:val="24"/>
        </w:rPr>
      </w:pPr>
      <w:r>
        <w:rPr>
          <w:rFonts w:cs="Times New Roman"/>
          <w:szCs w:val="24"/>
        </w:rPr>
        <w:t>根据软件计算功能的精度（如数据处理精度、时间控制精度、时间测量精度）要求，设计检测用例，验证软件运算功能结果精度及有效位，是否与用户需求或需求规格说明书中对精度和有效位的要求相一致。</w:t>
      </w:r>
    </w:p>
    <w:p>
      <w:pPr>
        <w:pStyle w:val="17"/>
        <w:numPr>
          <w:ilvl w:val="0"/>
          <w:numId w:val="5"/>
        </w:numPr>
        <w:ind w:left="781" w:leftChars="200" w:hanging="361" w:hangingChars="150"/>
        <w:rPr>
          <w:rFonts w:cs="Times New Roman"/>
          <w:szCs w:val="24"/>
        </w:rPr>
      </w:pPr>
      <w:r>
        <w:rPr>
          <w:rFonts w:cs="Times New Roman"/>
          <w:b/>
          <w:bCs/>
          <w:szCs w:val="24"/>
        </w:rPr>
        <w:t>功能适合性</w:t>
      </w:r>
      <w:r>
        <w:rPr>
          <w:rFonts w:cs="Times New Roman"/>
          <w:szCs w:val="24"/>
        </w:rPr>
        <w:t>：指软件满足用户适用要求的程度；功能适合性检测一般需进行：</w:t>
      </w:r>
    </w:p>
    <w:p>
      <w:pPr>
        <w:pStyle w:val="12"/>
        <w:numPr>
          <w:ilvl w:val="0"/>
          <w:numId w:val="8"/>
        </w:numPr>
        <w:ind w:left="870" w:leftChars="300" w:hanging="240" w:hangingChars="100"/>
        <w:rPr>
          <w:rFonts w:cs="Times New Roman"/>
          <w:szCs w:val="24"/>
        </w:rPr>
      </w:pPr>
      <w:r>
        <w:rPr>
          <w:rFonts w:cs="Times New Roman"/>
          <w:szCs w:val="24"/>
        </w:rPr>
        <w:t>分析被测对象功能需求，依据需求规格说明书要求验证系统是否实现了全部需求，确保各项功能是可执行的。</w:t>
      </w:r>
    </w:p>
    <w:p>
      <w:pPr>
        <w:pStyle w:val="12"/>
        <w:numPr>
          <w:ilvl w:val="0"/>
          <w:numId w:val="8"/>
        </w:numPr>
        <w:ind w:left="870" w:leftChars="300" w:hanging="240" w:hangingChars="100"/>
        <w:rPr>
          <w:rFonts w:cs="Times New Roman"/>
          <w:szCs w:val="24"/>
        </w:rPr>
      </w:pPr>
      <w:r>
        <w:rPr>
          <w:rFonts w:cs="Times New Roman"/>
          <w:szCs w:val="24"/>
        </w:rPr>
        <w:t>对系统业务数据进行严格的正确性检测（包括数据是否超出正常的值范围、数据准确性等），确保系统实时数据和历史数据准确无误。</w:t>
      </w:r>
    </w:p>
    <w:p>
      <w:pPr>
        <w:pStyle w:val="12"/>
        <w:numPr>
          <w:ilvl w:val="0"/>
          <w:numId w:val="8"/>
        </w:numPr>
        <w:ind w:left="870" w:leftChars="300" w:hanging="240" w:hangingChars="100"/>
        <w:rPr>
          <w:rFonts w:cs="Times New Roman"/>
          <w:szCs w:val="24"/>
        </w:rPr>
      </w:pPr>
      <w:r>
        <w:rPr>
          <w:rFonts w:cs="Times New Roman"/>
          <w:szCs w:val="24"/>
        </w:rPr>
        <w:t>检测软件是否自相矛盾，是否与用户文档集和产品说明矛盾。</w:t>
      </w:r>
    </w:p>
    <w:p>
      <w:pPr>
        <w:pStyle w:val="17"/>
        <w:numPr>
          <w:ilvl w:val="0"/>
          <w:numId w:val="5"/>
        </w:numPr>
        <w:ind w:left="781" w:leftChars="200" w:hanging="361" w:hangingChars="150"/>
        <w:rPr>
          <w:rFonts w:cs="Times New Roman"/>
          <w:szCs w:val="24"/>
        </w:rPr>
      </w:pPr>
      <w:r>
        <w:rPr>
          <w:rFonts w:cs="Times New Roman"/>
          <w:b/>
          <w:bCs/>
          <w:szCs w:val="24"/>
        </w:rPr>
        <w:t>功能性的依从性</w:t>
      </w:r>
      <w:r>
        <w:rPr>
          <w:rFonts w:cs="Times New Roman"/>
          <w:szCs w:val="24"/>
        </w:rPr>
        <w:t>：产品或系统遵循与功能性相关的标准、约定或法规以及类似规定的程度。</w:t>
      </w:r>
    </w:p>
    <w:p>
      <w:pPr>
        <w:pStyle w:val="12"/>
        <w:keepNext/>
        <w:keepLines/>
        <w:numPr>
          <w:ilvl w:val="1"/>
          <w:numId w:val="4"/>
        </w:numPr>
        <w:ind w:firstLineChars="0"/>
        <w:outlineLvl w:val="3"/>
        <w:rPr>
          <w:b/>
          <w:bCs/>
        </w:rPr>
      </w:pPr>
      <w:r>
        <w:rPr>
          <w:b/>
          <w:bCs/>
        </w:rPr>
        <w:t>性能效率检测</w:t>
      </w:r>
    </w:p>
    <w:p>
      <w:pPr>
        <w:spacing w:line="360" w:lineRule="auto"/>
        <w:ind w:firstLine="480"/>
        <w:rPr>
          <w:sz w:val="24"/>
        </w:rPr>
      </w:pPr>
      <w:r>
        <w:rPr>
          <w:sz w:val="24"/>
        </w:rPr>
        <w:t>对软件需求规格说明中的性能需求逐项进行检测，以验证其性能是否满足要求。一般包括时间特性、资源利用性、容量、性能效率的依从性等。性能检测的具体求如下：</w:t>
      </w:r>
    </w:p>
    <w:p>
      <w:pPr>
        <w:pStyle w:val="17"/>
        <w:numPr>
          <w:ilvl w:val="0"/>
          <w:numId w:val="9"/>
        </w:numPr>
        <w:ind w:left="781" w:leftChars="200" w:hanging="361" w:hangingChars="150"/>
        <w:rPr>
          <w:rFonts w:cs="Times New Roman"/>
          <w:szCs w:val="24"/>
        </w:rPr>
      </w:pPr>
      <w:r>
        <w:rPr>
          <w:rFonts w:cs="Times New Roman"/>
          <w:b/>
          <w:bCs/>
          <w:szCs w:val="24"/>
        </w:rPr>
        <w:t>时间特性</w:t>
      </w:r>
      <w:r>
        <w:rPr>
          <w:rFonts w:cs="Times New Roman"/>
          <w:szCs w:val="24"/>
        </w:rPr>
        <w:t>：指产品或系统执行其功能时，响应时间、处理时间及吞吐率满足需求的程度；时间特性一般需要检测：</w:t>
      </w:r>
    </w:p>
    <w:p>
      <w:pPr>
        <w:pStyle w:val="12"/>
        <w:numPr>
          <w:ilvl w:val="0"/>
          <w:numId w:val="10"/>
        </w:numPr>
        <w:ind w:left="870" w:leftChars="300" w:hanging="240" w:hangingChars="100"/>
        <w:rPr>
          <w:rFonts w:cs="Times New Roman"/>
          <w:szCs w:val="24"/>
        </w:rPr>
      </w:pPr>
      <w:r>
        <w:rPr>
          <w:rFonts w:cs="Times New Roman"/>
          <w:szCs w:val="24"/>
        </w:rPr>
        <w:t>平均响应时间：根据软件产品的特性，依据需求规格说明书的要求，选取数据量较大和用户操作最频繁的检测场景，设计检测用例并利用性能检测工具，检测软件产品在一定量用户并发访问时运行典型任务的响应时间。</w:t>
      </w:r>
    </w:p>
    <w:p>
      <w:pPr>
        <w:pStyle w:val="12"/>
        <w:numPr>
          <w:ilvl w:val="0"/>
          <w:numId w:val="10"/>
        </w:numPr>
        <w:ind w:left="870" w:leftChars="300" w:hanging="240" w:hangingChars="100"/>
        <w:rPr>
          <w:rFonts w:cs="Times New Roman"/>
          <w:szCs w:val="24"/>
        </w:rPr>
      </w:pPr>
      <w:r>
        <w:rPr>
          <w:rFonts w:cs="Times New Roman"/>
          <w:szCs w:val="24"/>
        </w:rPr>
        <w:t>响应极限时间：根据软件产品的特性，依据需求规格说明书的要求，选取数据量较大和用户操作最频繁的检测场景，设计检测用例并利用性能检测工具，检测软件产品在最大负载条件下运行典型任务的响应时间。</w:t>
      </w:r>
    </w:p>
    <w:p>
      <w:pPr>
        <w:pStyle w:val="12"/>
        <w:numPr>
          <w:ilvl w:val="0"/>
          <w:numId w:val="10"/>
        </w:numPr>
        <w:ind w:left="870" w:leftChars="300" w:hanging="240" w:hangingChars="100"/>
        <w:rPr>
          <w:rFonts w:cs="Times New Roman"/>
          <w:szCs w:val="24"/>
        </w:rPr>
      </w:pPr>
      <w:r>
        <w:rPr>
          <w:rFonts w:cs="Times New Roman"/>
          <w:szCs w:val="24"/>
        </w:rPr>
        <w:t>吞吐率：根据软件产品的特性，依据需求规格说明书的要求，选取数据量较大和用户操作最频繁的检测场景，设计检测用例并利用性能检测工具，在一个用户访问时，检测软件产品有多少个任务能在给定时间周期内成功执行。</w:t>
      </w:r>
    </w:p>
    <w:p>
      <w:pPr>
        <w:pStyle w:val="12"/>
        <w:numPr>
          <w:ilvl w:val="0"/>
          <w:numId w:val="10"/>
        </w:numPr>
        <w:ind w:left="870" w:leftChars="300" w:hanging="240" w:hangingChars="100"/>
        <w:rPr>
          <w:rFonts w:cs="Times New Roman"/>
          <w:szCs w:val="24"/>
        </w:rPr>
      </w:pPr>
      <w:r>
        <w:rPr>
          <w:rFonts w:cs="Times New Roman"/>
          <w:szCs w:val="24"/>
        </w:rPr>
        <w:t>平均吞吐量：据软件产品的特性，依据需求规格说明书的要求，选取数据量较大和用户操作最频繁的检测场景，设计检测用例并利用性能检测工具，在多个用户访问时，在一个设定的单位时间内，检测系统能处理的并发任务的平均数量。</w:t>
      </w:r>
    </w:p>
    <w:p>
      <w:pPr>
        <w:pStyle w:val="12"/>
        <w:numPr>
          <w:ilvl w:val="0"/>
          <w:numId w:val="10"/>
        </w:numPr>
        <w:ind w:left="870" w:leftChars="300" w:hanging="240" w:hangingChars="100"/>
        <w:rPr>
          <w:rFonts w:cs="Times New Roman"/>
          <w:szCs w:val="24"/>
        </w:rPr>
      </w:pPr>
      <w:r>
        <w:rPr>
          <w:rFonts w:cs="Times New Roman"/>
          <w:szCs w:val="24"/>
        </w:rPr>
        <w:t>极限吞吐量：根据软件产品的特性，依据需求规格说明书的要求，选取数据量较大和用户操作最频繁的检测场景，设计检测用例并利用性能检测工具，检测软件产品在最大负载条件下系统能处理的最多并发任务数。</w:t>
      </w:r>
    </w:p>
    <w:p>
      <w:pPr>
        <w:pStyle w:val="17"/>
        <w:ind w:left="781" w:leftChars="200" w:hanging="361" w:hangingChars="150"/>
        <w:rPr>
          <w:rFonts w:cs="Times New Roman"/>
          <w:szCs w:val="24"/>
        </w:rPr>
      </w:pPr>
      <w:r>
        <w:rPr>
          <w:rFonts w:cs="Times New Roman"/>
          <w:b/>
          <w:bCs/>
          <w:szCs w:val="24"/>
        </w:rPr>
        <w:t>资源利用性</w:t>
      </w:r>
      <w:r>
        <w:rPr>
          <w:rFonts w:cs="Times New Roman"/>
          <w:szCs w:val="24"/>
        </w:rPr>
        <w:t>：指产品或系统执行其功能时，所使用资源数量和类型满足需求的程度，主要包括CPU利用率、可用内存、磁盘、带宽等指标；资源利用性一般需要检测：</w:t>
      </w:r>
    </w:p>
    <w:p>
      <w:pPr>
        <w:pStyle w:val="12"/>
        <w:numPr>
          <w:ilvl w:val="0"/>
          <w:numId w:val="11"/>
        </w:numPr>
        <w:ind w:left="870" w:leftChars="300" w:hanging="240" w:hangingChars="100"/>
        <w:rPr>
          <w:rFonts w:cs="Times New Roman"/>
          <w:szCs w:val="24"/>
        </w:rPr>
      </w:pPr>
      <w:r>
        <w:rPr>
          <w:rFonts w:cs="Times New Roman"/>
          <w:szCs w:val="24"/>
        </w:rPr>
        <w:t>CPU利用率：在执行并发任务时，通过资源监控工具，监控服务器的CPU占用情况，其CPU占用率一般平均不应超过75%。</w:t>
      </w:r>
    </w:p>
    <w:p>
      <w:pPr>
        <w:pStyle w:val="12"/>
        <w:numPr>
          <w:ilvl w:val="0"/>
          <w:numId w:val="11"/>
        </w:numPr>
        <w:ind w:left="870" w:leftChars="300" w:hanging="240" w:hangingChars="100"/>
        <w:rPr>
          <w:rFonts w:cs="Times New Roman"/>
          <w:szCs w:val="24"/>
        </w:rPr>
      </w:pPr>
      <w:r>
        <w:rPr>
          <w:rFonts w:cs="Times New Roman"/>
          <w:szCs w:val="24"/>
        </w:rPr>
        <w:t>内存利用率：在执行并发任务时，通过资源监控工具，监控服务器的内存占用情况，其内存占用率一般平均不应超过75%。</w:t>
      </w:r>
    </w:p>
    <w:p>
      <w:pPr>
        <w:pStyle w:val="12"/>
        <w:numPr>
          <w:ilvl w:val="0"/>
          <w:numId w:val="11"/>
        </w:numPr>
        <w:ind w:left="870" w:leftChars="300" w:hanging="240" w:hangingChars="100"/>
        <w:rPr>
          <w:rFonts w:cs="Times New Roman"/>
          <w:szCs w:val="24"/>
        </w:rPr>
      </w:pPr>
      <w:r>
        <w:rPr>
          <w:rFonts w:cs="Times New Roman"/>
          <w:szCs w:val="24"/>
        </w:rPr>
        <w:t>磁盘利用率：在执行并发任务时，通过资源监控工具，监控服务器的磁盘使用情况。</w:t>
      </w:r>
    </w:p>
    <w:p>
      <w:pPr>
        <w:pStyle w:val="12"/>
        <w:numPr>
          <w:ilvl w:val="0"/>
          <w:numId w:val="11"/>
        </w:numPr>
        <w:ind w:left="870" w:leftChars="300" w:hanging="240" w:hangingChars="100"/>
        <w:rPr>
          <w:rFonts w:cs="Times New Roman"/>
          <w:szCs w:val="24"/>
        </w:rPr>
      </w:pPr>
      <w:r>
        <w:rPr>
          <w:rFonts w:cs="Times New Roman"/>
          <w:szCs w:val="24"/>
        </w:rPr>
        <w:t>网络带宽使用率：在执行并发任务时，通过资源监控工具，监控网络带宽的使用情况。</w:t>
      </w:r>
    </w:p>
    <w:p>
      <w:pPr>
        <w:pStyle w:val="17"/>
        <w:ind w:left="781" w:leftChars="200" w:hanging="361" w:hangingChars="150"/>
        <w:rPr>
          <w:rFonts w:cs="Times New Roman"/>
          <w:szCs w:val="24"/>
        </w:rPr>
      </w:pPr>
      <w:r>
        <w:rPr>
          <w:rFonts w:cs="Times New Roman"/>
          <w:b/>
          <w:bCs/>
          <w:szCs w:val="24"/>
        </w:rPr>
        <w:t>容量</w:t>
      </w:r>
      <w:r>
        <w:rPr>
          <w:rFonts w:cs="Times New Roman"/>
          <w:szCs w:val="24"/>
        </w:rPr>
        <w:t>：指产品或系统参数的最大限量满足需求的程度。包括存储数据项数量、并发用户数通信带宽、交易吞吐量和数据库规模；</w:t>
      </w:r>
    </w:p>
    <w:p>
      <w:pPr>
        <w:pStyle w:val="12"/>
        <w:numPr>
          <w:ilvl w:val="0"/>
          <w:numId w:val="12"/>
        </w:numPr>
        <w:ind w:left="870" w:leftChars="300" w:hanging="240" w:hangingChars="100"/>
        <w:rPr>
          <w:rFonts w:cs="Times New Roman"/>
          <w:szCs w:val="24"/>
        </w:rPr>
      </w:pPr>
      <w:r>
        <w:rPr>
          <w:rFonts w:cs="Times New Roman"/>
          <w:szCs w:val="24"/>
        </w:rPr>
        <w:t>检测软件是否符合需求规格说明书中有关容量的陈述。</w:t>
      </w:r>
    </w:p>
    <w:p>
      <w:pPr>
        <w:pStyle w:val="17"/>
        <w:ind w:left="781" w:leftChars="200" w:hanging="361" w:hangingChars="150"/>
        <w:rPr>
          <w:rFonts w:cs="Times New Roman"/>
          <w:szCs w:val="24"/>
        </w:rPr>
      </w:pPr>
      <w:r>
        <w:rPr>
          <w:rFonts w:cs="Times New Roman"/>
          <w:b/>
          <w:bCs/>
          <w:szCs w:val="24"/>
        </w:rPr>
        <w:t>性能效率的依从性</w:t>
      </w:r>
      <w:r>
        <w:rPr>
          <w:rFonts w:cs="Times New Roman"/>
          <w:szCs w:val="24"/>
        </w:rPr>
        <w:t>：产品或系统遵循与性能效率相关的标准、约定或法规以及类似规定的程度。</w:t>
      </w:r>
    </w:p>
    <w:p>
      <w:pPr>
        <w:pStyle w:val="12"/>
        <w:keepNext/>
        <w:keepLines/>
        <w:numPr>
          <w:ilvl w:val="1"/>
          <w:numId w:val="4"/>
        </w:numPr>
        <w:ind w:firstLineChars="0"/>
        <w:outlineLvl w:val="3"/>
        <w:rPr>
          <w:b/>
          <w:bCs/>
        </w:rPr>
      </w:pPr>
      <w:r>
        <w:rPr>
          <w:b/>
          <w:bCs/>
        </w:rPr>
        <w:t>易用性检测</w:t>
      </w:r>
    </w:p>
    <w:p>
      <w:pPr>
        <w:spacing w:line="360" w:lineRule="auto"/>
        <w:ind w:firstLine="480"/>
        <w:rPr>
          <w:sz w:val="24"/>
        </w:rPr>
      </w:pPr>
      <w:r>
        <w:rPr>
          <w:sz w:val="24"/>
        </w:rPr>
        <w:t>易用性检测主要是检测用户界面的功能模块的布局是否合理，整体风格是否一致和各个控件的放置位置是否符合客户使用习惯，更重要的是要符合操作便捷，导航简单易懂，界面中文字是否正确，命名是否统一，页面是否美观，文字、图片组合是否完美等。具体要求如下：</w:t>
      </w:r>
    </w:p>
    <w:p>
      <w:pPr>
        <w:pStyle w:val="17"/>
        <w:numPr>
          <w:ilvl w:val="0"/>
          <w:numId w:val="13"/>
        </w:numPr>
        <w:ind w:left="781" w:leftChars="200" w:hanging="361" w:hangingChars="150"/>
        <w:rPr>
          <w:rFonts w:cs="Times New Roman"/>
          <w:szCs w:val="24"/>
        </w:rPr>
      </w:pPr>
      <w:r>
        <w:rPr>
          <w:rFonts w:cs="Times New Roman"/>
          <w:b/>
          <w:bCs/>
          <w:szCs w:val="24"/>
        </w:rPr>
        <w:t>可辨识性</w:t>
      </w:r>
      <w:r>
        <w:rPr>
          <w:rFonts w:cs="Times New Roman"/>
          <w:szCs w:val="24"/>
        </w:rPr>
        <w:t>：指用户能够清楚辨识产品或系统是否满足要求的程度；可辨识性检测一般需进行：</w:t>
      </w:r>
    </w:p>
    <w:p>
      <w:pPr>
        <w:pStyle w:val="21"/>
        <w:ind w:left="870" w:leftChars="300" w:hanging="240" w:hangingChars="100"/>
        <w:rPr>
          <w:szCs w:val="24"/>
        </w:rPr>
      </w:pPr>
      <w:r>
        <w:rPr>
          <w:szCs w:val="24"/>
        </w:rPr>
        <w:t>用户或使用者是否可通过检查界面（或通过检查菜单）来落实明显的功能。</w:t>
      </w:r>
    </w:p>
    <w:p>
      <w:pPr>
        <w:pStyle w:val="21"/>
        <w:ind w:left="870" w:leftChars="300" w:hanging="240" w:hangingChars="100"/>
        <w:rPr>
          <w:szCs w:val="24"/>
        </w:rPr>
      </w:pPr>
      <w:r>
        <w:rPr>
          <w:szCs w:val="24"/>
        </w:rPr>
        <w:t>软件产品的用户或使用者是否能理解数据输入的格式。</w:t>
      </w:r>
    </w:p>
    <w:p>
      <w:pPr>
        <w:pStyle w:val="21"/>
        <w:ind w:left="870" w:leftChars="300" w:hanging="240" w:hangingChars="100"/>
        <w:rPr>
          <w:szCs w:val="24"/>
        </w:rPr>
      </w:pPr>
      <w:r>
        <w:rPr>
          <w:szCs w:val="24"/>
        </w:rPr>
        <w:t>软件产品的用户或使用者是否能正确识别输出数据的含义。</w:t>
      </w:r>
    </w:p>
    <w:p>
      <w:pPr>
        <w:pStyle w:val="21"/>
        <w:ind w:left="870" w:leftChars="300" w:hanging="240" w:hangingChars="100"/>
        <w:rPr>
          <w:szCs w:val="24"/>
        </w:rPr>
      </w:pPr>
      <w:r>
        <w:rPr>
          <w:szCs w:val="24"/>
        </w:rPr>
        <w:t>软件产品的屏幕输入格式、报表和其他输出对用户来说是否是清晰且易理解的。</w:t>
      </w:r>
    </w:p>
    <w:p>
      <w:pPr>
        <w:pStyle w:val="21"/>
        <w:ind w:left="870" w:leftChars="300" w:hanging="240" w:hangingChars="100"/>
        <w:rPr>
          <w:szCs w:val="24"/>
        </w:rPr>
      </w:pPr>
      <w:r>
        <w:rPr>
          <w:szCs w:val="24"/>
        </w:rPr>
        <w:t>对所有人机交互界面提供的操作和显示界面进行检测，检验操作和显示界面与软件文档中要求的一致性。</w:t>
      </w:r>
    </w:p>
    <w:p>
      <w:pPr>
        <w:pStyle w:val="21"/>
        <w:ind w:left="870" w:leftChars="300" w:hanging="240" w:hangingChars="100"/>
        <w:rPr>
          <w:szCs w:val="24"/>
        </w:rPr>
      </w:pPr>
      <w:r>
        <w:rPr>
          <w:szCs w:val="24"/>
        </w:rPr>
        <w:t>在阅读完成产品描述后，检查软件产品的功能是否能全部理解。</w:t>
      </w:r>
    </w:p>
    <w:p>
      <w:pPr>
        <w:pStyle w:val="17"/>
        <w:numPr>
          <w:ilvl w:val="0"/>
          <w:numId w:val="5"/>
        </w:numPr>
        <w:ind w:left="781" w:leftChars="200" w:hanging="361" w:hangingChars="150"/>
        <w:rPr>
          <w:rFonts w:cs="Times New Roman"/>
          <w:szCs w:val="24"/>
        </w:rPr>
      </w:pPr>
      <w:r>
        <w:rPr>
          <w:rFonts w:cs="Times New Roman"/>
          <w:b/>
          <w:bCs/>
          <w:szCs w:val="24"/>
        </w:rPr>
        <w:t>易学习性</w:t>
      </w:r>
      <w:r>
        <w:rPr>
          <w:rFonts w:cs="Times New Roman"/>
          <w:szCs w:val="24"/>
        </w:rPr>
        <w:t>：指产品或系统在有效性、效率、抗风险和满意度特性方面为了学习使用该产品或系统这一指定的目标可为用户使用的程度；易学习性检测一般需进行：</w:t>
      </w:r>
    </w:p>
    <w:p>
      <w:pPr>
        <w:pStyle w:val="21"/>
        <w:numPr>
          <w:ilvl w:val="0"/>
          <w:numId w:val="14"/>
        </w:numPr>
        <w:ind w:left="870" w:leftChars="300" w:hanging="240" w:hangingChars="100"/>
        <w:rPr>
          <w:szCs w:val="24"/>
        </w:rPr>
      </w:pPr>
      <w:r>
        <w:rPr>
          <w:szCs w:val="24"/>
        </w:rPr>
        <w:t>系统是否提供帮助功能，验证借助用户接口、帮助功能或用户文档集提供的手段，最终用户是否能够学习如何使用某一功能。</w:t>
      </w:r>
    </w:p>
    <w:p>
      <w:pPr>
        <w:pStyle w:val="21"/>
        <w:ind w:left="870" w:leftChars="300" w:hanging="240" w:hangingChars="100"/>
        <w:rPr>
          <w:szCs w:val="24"/>
        </w:rPr>
      </w:pPr>
      <w:r>
        <w:rPr>
          <w:szCs w:val="24"/>
        </w:rPr>
        <w:t>在界面上调用帮助时，应该能够及时定位到与该操作相对的帮助位置。</w:t>
      </w:r>
    </w:p>
    <w:p>
      <w:pPr>
        <w:pStyle w:val="21"/>
        <w:ind w:left="870" w:leftChars="300" w:hanging="240" w:hangingChars="100"/>
        <w:rPr>
          <w:szCs w:val="24"/>
        </w:rPr>
      </w:pPr>
      <w:r>
        <w:rPr>
          <w:szCs w:val="24"/>
        </w:rPr>
        <w:t>对功能采用及时帮助是否能准确定位到帮助系统的位置。</w:t>
      </w:r>
    </w:p>
    <w:p>
      <w:pPr>
        <w:pStyle w:val="21"/>
        <w:ind w:left="870" w:leftChars="300" w:hanging="240" w:hangingChars="100"/>
        <w:rPr>
          <w:szCs w:val="24"/>
        </w:rPr>
      </w:pPr>
      <w:r>
        <w:rPr>
          <w:szCs w:val="24"/>
        </w:rPr>
        <w:t>利用帮助索引是否能定位到帮助主题和内容。</w:t>
      </w:r>
    </w:p>
    <w:p>
      <w:pPr>
        <w:pStyle w:val="21"/>
        <w:ind w:left="870" w:leftChars="300" w:hanging="240" w:hangingChars="100"/>
        <w:rPr>
          <w:szCs w:val="24"/>
        </w:rPr>
      </w:pPr>
      <w:r>
        <w:rPr>
          <w:szCs w:val="24"/>
        </w:rPr>
        <w:t>帮助内容描述得是否准确，一定详细到可以解决问题。</w:t>
      </w:r>
    </w:p>
    <w:p>
      <w:pPr>
        <w:pStyle w:val="21"/>
        <w:ind w:left="870" w:leftChars="300" w:hanging="240" w:hangingChars="100"/>
        <w:rPr>
          <w:szCs w:val="24"/>
        </w:rPr>
      </w:pPr>
      <w:r>
        <w:rPr>
          <w:szCs w:val="24"/>
        </w:rPr>
        <w:t>在系统不同的位置激活帮助内容与当前操作内容是否相关联。</w:t>
      </w:r>
    </w:p>
    <w:p>
      <w:pPr>
        <w:pStyle w:val="21"/>
        <w:ind w:left="870" w:leftChars="300" w:hanging="240" w:hangingChars="100"/>
        <w:rPr>
          <w:szCs w:val="24"/>
        </w:rPr>
      </w:pPr>
      <w:r>
        <w:rPr>
          <w:szCs w:val="24"/>
        </w:rPr>
        <w:t>提供帮助：由状态栏提供或在控件上有提示文本。</w:t>
      </w:r>
    </w:p>
    <w:p>
      <w:pPr>
        <w:pStyle w:val="21"/>
        <w:ind w:left="870" w:leftChars="300" w:hanging="240" w:hangingChars="100"/>
        <w:rPr>
          <w:szCs w:val="24"/>
        </w:rPr>
      </w:pPr>
      <w:r>
        <w:rPr>
          <w:szCs w:val="24"/>
        </w:rPr>
        <w:t>检查软件产品在线帮助机制是否完整。</w:t>
      </w:r>
    </w:p>
    <w:p>
      <w:pPr>
        <w:pStyle w:val="21"/>
        <w:ind w:left="870" w:leftChars="300" w:hanging="240" w:hangingChars="100"/>
        <w:rPr>
          <w:szCs w:val="24"/>
        </w:rPr>
      </w:pPr>
      <w:r>
        <w:rPr>
          <w:szCs w:val="24"/>
        </w:rPr>
        <w:t>在阅读用户文档或使用帮助系统后，检查软件产品用户或操作者是否能正确使用功能。</w:t>
      </w:r>
    </w:p>
    <w:p>
      <w:pPr>
        <w:pStyle w:val="17"/>
        <w:numPr>
          <w:ilvl w:val="0"/>
          <w:numId w:val="5"/>
        </w:numPr>
        <w:ind w:left="781" w:leftChars="200" w:hanging="361" w:hangingChars="150"/>
        <w:rPr>
          <w:rFonts w:cs="Times New Roman"/>
          <w:szCs w:val="24"/>
        </w:rPr>
      </w:pPr>
      <w:r>
        <w:rPr>
          <w:rFonts w:cs="Times New Roman"/>
          <w:b/>
          <w:bCs/>
          <w:szCs w:val="24"/>
        </w:rPr>
        <w:t>易操作性</w:t>
      </w:r>
      <w:r>
        <w:rPr>
          <w:rFonts w:cs="Times New Roman"/>
          <w:szCs w:val="24"/>
        </w:rPr>
        <w:t>：指产品或系统易于操作和控制的属性的程度；一般进行窗口检测、菜单检测、图标检测、鼠标检测以及其他检测。</w:t>
      </w:r>
    </w:p>
    <w:p>
      <w:pPr>
        <w:pStyle w:val="17"/>
        <w:numPr>
          <w:ilvl w:val="0"/>
          <w:numId w:val="5"/>
        </w:numPr>
        <w:ind w:left="781" w:leftChars="200" w:hanging="361" w:hangingChars="150"/>
        <w:rPr>
          <w:rFonts w:cs="Times New Roman"/>
          <w:szCs w:val="24"/>
        </w:rPr>
      </w:pPr>
      <w:r>
        <w:rPr>
          <w:rFonts w:cs="Times New Roman"/>
          <w:b/>
          <w:bCs/>
          <w:szCs w:val="24"/>
        </w:rPr>
        <w:t>用户差错防御性</w:t>
      </w:r>
      <w:r>
        <w:rPr>
          <w:rFonts w:cs="Times New Roman"/>
          <w:szCs w:val="24"/>
        </w:rPr>
        <w:t>：指系统预防用户犯错的程度；用户差错防御性一般检测：</w:t>
      </w:r>
    </w:p>
    <w:p>
      <w:pPr>
        <w:pStyle w:val="21"/>
        <w:numPr>
          <w:ilvl w:val="0"/>
          <w:numId w:val="15"/>
        </w:numPr>
        <w:ind w:left="870" w:leftChars="300" w:hanging="240" w:hangingChars="100"/>
        <w:rPr>
          <w:szCs w:val="24"/>
        </w:rPr>
      </w:pPr>
      <w:r>
        <w:rPr>
          <w:szCs w:val="24"/>
        </w:rPr>
        <w:t>验证软件出错消息是否指明如何改正或向谁报告。</w:t>
      </w:r>
    </w:p>
    <w:p>
      <w:pPr>
        <w:pStyle w:val="21"/>
        <w:ind w:left="870" w:leftChars="300" w:hanging="240" w:hangingChars="100"/>
        <w:rPr>
          <w:szCs w:val="24"/>
        </w:rPr>
      </w:pPr>
      <w:r>
        <w:rPr>
          <w:szCs w:val="24"/>
        </w:rPr>
        <w:t>操作错误或系统出现错误时，验证系统的出错信息中是否提供差错产生的原因，并指示如何进入正确的步骤，帮助用户从错误中恢复。</w:t>
      </w:r>
    </w:p>
    <w:p>
      <w:pPr>
        <w:pStyle w:val="21"/>
        <w:ind w:left="870" w:leftChars="300" w:hanging="240" w:hangingChars="100"/>
        <w:rPr>
          <w:szCs w:val="24"/>
        </w:rPr>
      </w:pPr>
      <w:r>
        <w:rPr>
          <w:szCs w:val="24"/>
        </w:rPr>
        <w:t>软件产品出错消息是否能指明如何改正差错或要报告差错向谁联系。</w:t>
      </w:r>
    </w:p>
    <w:p>
      <w:pPr>
        <w:pStyle w:val="21"/>
        <w:ind w:left="870" w:leftChars="300" w:hanging="240" w:hangingChars="100"/>
        <w:rPr>
          <w:szCs w:val="24"/>
        </w:rPr>
      </w:pPr>
      <w:r>
        <w:rPr>
          <w:szCs w:val="24"/>
        </w:rPr>
        <w:t>验证对具有严重后果的功能执行是否是可撤销的，或者软件是否给出这种后果的明显警告，并且在这种命令执行前要求确认</w:t>
      </w:r>
    </w:p>
    <w:p>
      <w:pPr>
        <w:pStyle w:val="17"/>
        <w:numPr>
          <w:ilvl w:val="0"/>
          <w:numId w:val="5"/>
        </w:numPr>
        <w:ind w:left="781" w:leftChars="200" w:hanging="361" w:hangingChars="150"/>
        <w:rPr>
          <w:rFonts w:cs="Times New Roman"/>
          <w:szCs w:val="24"/>
        </w:rPr>
      </w:pPr>
      <w:r>
        <w:rPr>
          <w:rFonts w:cs="Times New Roman"/>
          <w:b/>
          <w:bCs/>
          <w:szCs w:val="24"/>
        </w:rPr>
        <w:t>用户界面舒适性</w:t>
      </w:r>
      <w:r>
        <w:rPr>
          <w:rFonts w:cs="Times New Roman"/>
          <w:szCs w:val="24"/>
        </w:rPr>
        <w:t>：指用户界面提供令人愉悦和满意的交互的程度；</w:t>
      </w:r>
    </w:p>
    <w:p>
      <w:pPr>
        <w:ind w:firstLine="480"/>
        <w:rPr>
          <w:sz w:val="24"/>
        </w:rPr>
      </w:pPr>
      <w:r>
        <w:rPr>
          <w:sz w:val="24"/>
        </w:rPr>
        <w:t>用户界面舒适性检测一般需进行：</w:t>
      </w:r>
    </w:p>
    <w:p>
      <w:pPr>
        <w:pStyle w:val="21"/>
        <w:numPr>
          <w:ilvl w:val="0"/>
          <w:numId w:val="16"/>
        </w:numPr>
        <w:ind w:left="870" w:leftChars="300" w:hanging="240" w:hangingChars="100"/>
        <w:rPr>
          <w:szCs w:val="24"/>
        </w:rPr>
      </w:pPr>
      <w:r>
        <w:rPr>
          <w:szCs w:val="24"/>
        </w:rPr>
        <w:t>界面中元素的文字、颜色等信息是否与功能不一致。</w:t>
      </w:r>
    </w:p>
    <w:p>
      <w:pPr>
        <w:pStyle w:val="21"/>
        <w:ind w:left="870" w:leftChars="300" w:hanging="240" w:hangingChars="100"/>
        <w:rPr>
          <w:szCs w:val="24"/>
        </w:rPr>
      </w:pPr>
      <w:r>
        <w:rPr>
          <w:szCs w:val="24"/>
        </w:rPr>
        <w:t>前景与背景色搭配是否合理协调，反差是不是太大。</w:t>
      </w:r>
    </w:p>
    <w:p>
      <w:pPr>
        <w:pStyle w:val="21"/>
        <w:ind w:left="870" w:leftChars="300" w:hanging="240" w:hangingChars="100"/>
        <w:rPr>
          <w:szCs w:val="24"/>
        </w:rPr>
      </w:pPr>
      <w:r>
        <w:rPr>
          <w:szCs w:val="24"/>
        </w:rPr>
        <w:t>界面中的元素大小和布局是否协调。</w:t>
      </w:r>
    </w:p>
    <w:p>
      <w:pPr>
        <w:pStyle w:val="21"/>
        <w:ind w:left="870" w:leftChars="300" w:hanging="240" w:hangingChars="100"/>
        <w:rPr>
          <w:szCs w:val="24"/>
        </w:rPr>
      </w:pPr>
      <w:r>
        <w:rPr>
          <w:szCs w:val="24"/>
        </w:rPr>
        <w:t>布局是否一致，如所有窗口按钮的位置和对其方式要一致；</w:t>
      </w:r>
    </w:p>
    <w:p>
      <w:pPr>
        <w:pStyle w:val="21"/>
        <w:ind w:left="870" w:leftChars="300" w:hanging="240" w:hangingChars="100"/>
        <w:rPr>
          <w:szCs w:val="24"/>
        </w:rPr>
      </w:pPr>
      <w:r>
        <w:rPr>
          <w:szCs w:val="24"/>
        </w:rPr>
        <w:t>标签和信息的措辞是否一致，如在提示、菜单和帮助中产生相同的术语。</w:t>
      </w:r>
    </w:p>
    <w:p>
      <w:pPr>
        <w:pStyle w:val="21"/>
        <w:ind w:left="870" w:leftChars="300" w:hanging="240" w:hangingChars="100"/>
        <w:rPr>
          <w:szCs w:val="24"/>
        </w:rPr>
      </w:pPr>
      <w:r>
        <w:rPr>
          <w:szCs w:val="24"/>
        </w:rPr>
        <w:t>界面外观是否一致，如控件的大小、颜色、背景和显示信息等属性要一致，但一些需要艺术处理或有特殊要求的地方除外。</w:t>
      </w:r>
    </w:p>
    <w:p>
      <w:pPr>
        <w:pStyle w:val="21"/>
        <w:ind w:left="870" w:leftChars="300" w:hanging="240" w:hangingChars="100"/>
        <w:rPr>
          <w:szCs w:val="24"/>
        </w:rPr>
      </w:pPr>
      <w:r>
        <w:rPr>
          <w:szCs w:val="24"/>
        </w:rPr>
        <w:t>操作方法是否一致，如双击其中的项，使得某些事件发生，那么双击任何其他列表框中的项，都应该有同样的事件发生。</w:t>
      </w:r>
    </w:p>
    <w:p>
      <w:pPr>
        <w:pStyle w:val="21"/>
        <w:ind w:left="870" w:leftChars="300" w:hanging="240" w:hangingChars="100"/>
        <w:rPr>
          <w:szCs w:val="24"/>
        </w:rPr>
      </w:pPr>
      <w:r>
        <w:rPr>
          <w:szCs w:val="24"/>
        </w:rPr>
        <w:t>颜色的使用是否一致，颜色的前后一致会使整个应用软件有同样的观感。</w:t>
      </w:r>
    </w:p>
    <w:p>
      <w:pPr>
        <w:pStyle w:val="21"/>
        <w:ind w:left="870" w:leftChars="300" w:hanging="240" w:hangingChars="100"/>
        <w:rPr>
          <w:szCs w:val="24"/>
        </w:rPr>
      </w:pPr>
      <w:r>
        <w:rPr>
          <w:szCs w:val="24"/>
        </w:rPr>
        <w:t>快捷键在各个配置项上语义是否保持一致。</w:t>
      </w:r>
    </w:p>
    <w:p>
      <w:pPr>
        <w:pStyle w:val="17"/>
        <w:numPr>
          <w:ilvl w:val="0"/>
          <w:numId w:val="5"/>
        </w:numPr>
        <w:ind w:left="781" w:leftChars="200" w:hanging="361" w:hangingChars="150"/>
        <w:rPr>
          <w:rFonts w:cs="Times New Roman"/>
          <w:szCs w:val="24"/>
        </w:rPr>
      </w:pPr>
      <w:r>
        <w:rPr>
          <w:rFonts w:cs="Times New Roman"/>
          <w:b/>
          <w:bCs/>
          <w:szCs w:val="24"/>
        </w:rPr>
        <w:t>易访问性</w:t>
      </w:r>
      <w:r>
        <w:rPr>
          <w:rFonts w:cs="Times New Roman"/>
          <w:szCs w:val="24"/>
        </w:rPr>
        <w:t>：指为了达到指定的目标，产品或系统被用户所使用的程度；易访问性检测一般需进行：</w:t>
      </w:r>
    </w:p>
    <w:p>
      <w:pPr>
        <w:pStyle w:val="21"/>
        <w:numPr>
          <w:ilvl w:val="0"/>
          <w:numId w:val="17"/>
        </w:numPr>
        <w:ind w:left="870" w:leftChars="300" w:hanging="240" w:hangingChars="100"/>
        <w:rPr>
          <w:szCs w:val="24"/>
        </w:rPr>
      </w:pPr>
      <w:r>
        <w:rPr>
          <w:szCs w:val="24"/>
        </w:rPr>
        <w:t>验证软件产品在指定的使用周境中，为了指定的目标被具有指定能力障碍的用户使用的程度。 例如：无能力使用鼠标的人或盲人等残疾人。</w:t>
      </w:r>
    </w:p>
    <w:p>
      <w:pPr>
        <w:pStyle w:val="17"/>
        <w:numPr>
          <w:ilvl w:val="0"/>
          <w:numId w:val="5"/>
        </w:numPr>
        <w:ind w:left="781" w:leftChars="200" w:hanging="361" w:hangingChars="150"/>
        <w:rPr>
          <w:rFonts w:cs="Times New Roman"/>
          <w:szCs w:val="24"/>
        </w:rPr>
      </w:pPr>
      <w:r>
        <w:rPr>
          <w:rFonts w:cs="Times New Roman"/>
          <w:b/>
          <w:bCs/>
          <w:szCs w:val="24"/>
        </w:rPr>
        <w:t>易用性的依从性</w:t>
      </w:r>
      <w:r>
        <w:rPr>
          <w:rFonts w:cs="Times New Roman"/>
          <w:szCs w:val="24"/>
        </w:rPr>
        <w:t>：产品或系统遵循与易用性相关的标准、约定或法规以及类似规定的程度。</w:t>
      </w:r>
    </w:p>
    <w:p>
      <w:pPr>
        <w:pStyle w:val="12"/>
        <w:keepNext/>
        <w:keepLines/>
        <w:numPr>
          <w:ilvl w:val="1"/>
          <w:numId w:val="4"/>
        </w:numPr>
        <w:ind w:firstLineChars="0"/>
        <w:outlineLvl w:val="3"/>
        <w:rPr>
          <w:b/>
          <w:bCs/>
        </w:rPr>
      </w:pPr>
      <w:r>
        <w:rPr>
          <w:b/>
          <w:bCs/>
        </w:rPr>
        <w:t>信息安全检测</w:t>
      </w:r>
    </w:p>
    <w:p>
      <w:pPr>
        <w:spacing w:line="360" w:lineRule="auto"/>
        <w:ind w:firstLine="480"/>
        <w:rPr>
          <w:sz w:val="24"/>
        </w:rPr>
      </w:pPr>
      <w:r>
        <w:rPr>
          <w:sz w:val="24"/>
        </w:rPr>
        <w:t>主要是检查软件系统保护信息和数据的程度，对非法入侵的防范能力。通过各种方式检测系统，以检查系统的安全性。安全检测具体要求如下:</w:t>
      </w:r>
    </w:p>
    <w:p>
      <w:pPr>
        <w:pStyle w:val="17"/>
        <w:numPr>
          <w:ilvl w:val="0"/>
          <w:numId w:val="18"/>
        </w:numPr>
        <w:ind w:left="781" w:leftChars="200" w:hanging="361" w:hangingChars="150"/>
        <w:rPr>
          <w:rFonts w:cs="Times New Roman"/>
          <w:szCs w:val="24"/>
        </w:rPr>
      </w:pPr>
      <w:r>
        <w:rPr>
          <w:rFonts w:cs="Times New Roman"/>
          <w:b/>
          <w:bCs/>
          <w:szCs w:val="24"/>
        </w:rPr>
        <w:t>保密性</w:t>
      </w:r>
      <w:r>
        <w:rPr>
          <w:rFonts w:cs="Times New Roman"/>
          <w:szCs w:val="24"/>
        </w:rPr>
        <w:t>：产品或系统确保数据只有在被授权时才能被访问的程度；保密性一般需要检测：</w:t>
      </w:r>
    </w:p>
    <w:p>
      <w:pPr>
        <w:pStyle w:val="12"/>
        <w:numPr>
          <w:ilvl w:val="0"/>
          <w:numId w:val="19"/>
        </w:numPr>
        <w:ind w:left="870" w:leftChars="300" w:hanging="240" w:hangingChars="100"/>
        <w:rPr>
          <w:rFonts w:cs="Times New Roman"/>
          <w:szCs w:val="24"/>
        </w:rPr>
      </w:pPr>
      <w:r>
        <w:rPr>
          <w:rFonts w:cs="Times New Roman"/>
          <w:szCs w:val="24"/>
        </w:rPr>
        <w:t>验证软件产品是否具有对系统正常访问的控制能力。</w:t>
      </w:r>
    </w:p>
    <w:p>
      <w:pPr>
        <w:pStyle w:val="12"/>
        <w:numPr>
          <w:ilvl w:val="0"/>
          <w:numId w:val="19"/>
        </w:numPr>
        <w:ind w:left="870" w:leftChars="300" w:hanging="240" w:hangingChars="100"/>
        <w:rPr>
          <w:rFonts w:cs="Times New Roman"/>
          <w:szCs w:val="24"/>
        </w:rPr>
      </w:pPr>
      <w:r>
        <w:rPr>
          <w:rFonts w:cs="Times New Roman"/>
          <w:szCs w:val="24"/>
        </w:rPr>
        <w:t>检测系统是否进行用户身份鉴别，并在每次用户登录系统时进行鉴别。</w:t>
      </w:r>
    </w:p>
    <w:p>
      <w:pPr>
        <w:pStyle w:val="12"/>
        <w:numPr>
          <w:ilvl w:val="0"/>
          <w:numId w:val="19"/>
        </w:numPr>
        <w:ind w:left="870" w:leftChars="300" w:hanging="240" w:hangingChars="100"/>
        <w:rPr>
          <w:rFonts w:cs="Times New Roman"/>
          <w:szCs w:val="24"/>
        </w:rPr>
      </w:pPr>
      <w:r>
        <w:rPr>
          <w:rFonts w:cs="Times New Roman"/>
          <w:szCs w:val="24"/>
        </w:rPr>
        <w:t>检测软件鉴别信息是否为不可见，且具有相应的抗攻击能力，并在存储或传输时用加密方法/具有相同安全强度的其他方法进行安全保护。</w:t>
      </w:r>
    </w:p>
    <w:p>
      <w:pPr>
        <w:pStyle w:val="12"/>
        <w:numPr>
          <w:ilvl w:val="0"/>
          <w:numId w:val="19"/>
        </w:numPr>
        <w:ind w:left="870" w:leftChars="300" w:hanging="240" w:hangingChars="100"/>
        <w:rPr>
          <w:rFonts w:cs="Times New Roman"/>
          <w:szCs w:val="24"/>
        </w:rPr>
      </w:pPr>
      <w:r>
        <w:rPr>
          <w:rFonts w:cs="Times New Roman"/>
          <w:szCs w:val="24"/>
        </w:rPr>
        <w:t>检测系统是否对不成功的鉴别尝试的值（包括尝试次数和时间的阀值）进行预先定义，并明确规定达到该值时是否采取了具有规范性和安全性的措施来实现鉴别失败的处理。</w:t>
      </w:r>
    </w:p>
    <w:p>
      <w:pPr>
        <w:pStyle w:val="17"/>
        <w:numPr>
          <w:ilvl w:val="0"/>
          <w:numId w:val="18"/>
        </w:numPr>
        <w:ind w:left="781" w:leftChars="200" w:hanging="361" w:hangingChars="150"/>
        <w:rPr>
          <w:rFonts w:cs="Times New Roman"/>
          <w:szCs w:val="24"/>
        </w:rPr>
      </w:pPr>
      <w:r>
        <w:rPr>
          <w:rFonts w:cs="Times New Roman"/>
          <w:b/>
          <w:bCs/>
          <w:szCs w:val="24"/>
        </w:rPr>
        <w:t>完整性</w:t>
      </w:r>
      <w:r>
        <w:rPr>
          <w:rFonts w:cs="Times New Roman"/>
          <w:szCs w:val="24"/>
        </w:rPr>
        <w:t>：系统、产品或组件防止未授权访问、篡改计算机程序或数据的程度；完整性一般需要检测：</w:t>
      </w:r>
    </w:p>
    <w:p>
      <w:pPr>
        <w:pStyle w:val="12"/>
        <w:numPr>
          <w:ilvl w:val="0"/>
          <w:numId w:val="20"/>
        </w:numPr>
        <w:ind w:left="870" w:leftChars="300" w:hanging="240" w:hangingChars="100"/>
        <w:rPr>
          <w:rFonts w:cs="Times New Roman"/>
          <w:szCs w:val="24"/>
        </w:rPr>
      </w:pPr>
      <w:r>
        <w:rPr>
          <w:rFonts w:cs="Times New Roman"/>
          <w:szCs w:val="24"/>
        </w:rPr>
        <w:t>验证对软件产品是否具有对未授权用户非法访问的控制能力。</w:t>
      </w:r>
    </w:p>
    <w:p>
      <w:pPr>
        <w:pStyle w:val="12"/>
        <w:numPr>
          <w:ilvl w:val="0"/>
          <w:numId w:val="20"/>
        </w:numPr>
        <w:ind w:left="870" w:leftChars="300" w:hanging="240" w:hangingChars="100"/>
        <w:rPr>
          <w:rFonts w:cs="Times New Roman"/>
          <w:szCs w:val="24"/>
        </w:rPr>
      </w:pPr>
      <w:r>
        <w:rPr>
          <w:rFonts w:cs="Times New Roman"/>
          <w:szCs w:val="24"/>
        </w:rPr>
        <w:t>在模拟非法入侵攻击事件的条件下，验证软件产品是否有控制和处理能力。</w:t>
      </w:r>
    </w:p>
    <w:p>
      <w:pPr>
        <w:pStyle w:val="12"/>
        <w:numPr>
          <w:ilvl w:val="0"/>
          <w:numId w:val="20"/>
        </w:numPr>
        <w:ind w:left="870" w:leftChars="300" w:hanging="240" w:hangingChars="100"/>
        <w:rPr>
          <w:rFonts w:cs="Times New Roman"/>
          <w:szCs w:val="24"/>
        </w:rPr>
      </w:pPr>
      <w:r>
        <w:rPr>
          <w:rFonts w:cs="Times New Roman"/>
          <w:szCs w:val="24"/>
        </w:rPr>
        <w:t>验证软件产品对非授权人创建、删除或修改信息是否有控制处理能力。</w:t>
      </w:r>
    </w:p>
    <w:p>
      <w:pPr>
        <w:pStyle w:val="17"/>
        <w:numPr>
          <w:ilvl w:val="0"/>
          <w:numId w:val="18"/>
        </w:numPr>
        <w:ind w:left="781" w:leftChars="200" w:hanging="361" w:hangingChars="150"/>
        <w:rPr>
          <w:rFonts w:cs="Times New Roman"/>
          <w:szCs w:val="24"/>
        </w:rPr>
      </w:pPr>
      <w:r>
        <w:rPr>
          <w:rFonts w:cs="Times New Roman"/>
          <w:b/>
          <w:bCs/>
          <w:szCs w:val="24"/>
        </w:rPr>
        <w:t>抗抵赖性</w:t>
      </w:r>
      <w:r>
        <w:rPr>
          <w:rFonts w:cs="Times New Roman"/>
          <w:szCs w:val="24"/>
        </w:rPr>
        <w:t>：活动或事件发生后可以被证实且不可被否认的程度；抗抵赖性检测一般需要检测：</w:t>
      </w:r>
    </w:p>
    <w:p>
      <w:pPr>
        <w:pStyle w:val="21"/>
        <w:numPr>
          <w:ilvl w:val="0"/>
          <w:numId w:val="21"/>
        </w:numPr>
        <w:ind w:left="870" w:leftChars="300" w:hanging="240" w:hangingChars="100"/>
        <w:rPr>
          <w:szCs w:val="24"/>
        </w:rPr>
      </w:pPr>
      <w:r>
        <w:rPr>
          <w:szCs w:val="24"/>
        </w:rPr>
        <w:t>检测软件是否具有在请求的情况下为数据原发者提供数据原发证据的功能。</w:t>
      </w:r>
    </w:p>
    <w:p>
      <w:pPr>
        <w:pStyle w:val="21"/>
        <w:ind w:left="870" w:leftChars="300" w:hanging="240" w:hangingChars="100"/>
        <w:rPr>
          <w:szCs w:val="24"/>
        </w:rPr>
      </w:pPr>
      <w:r>
        <w:rPr>
          <w:szCs w:val="24"/>
        </w:rPr>
        <w:t>检测软件是否具有在请求的情况下为数据接收者提供数据接收证据的功能。</w:t>
      </w:r>
    </w:p>
    <w:p>
      <w:pPr>
        <w:pStyle w:val="17"/>
        <w:numPr>
          <w:ilvl w:val="0"/>
          <w:numId w:val="18"/>
        </w:numPr>
        <w:ind w:left="781" w:leftChars="200" w:hanging="361" w:hangingChars="150"/>
        <w:rPr>
          <w:rFonts w:cs="Times New Roman"/>
          <w:szCs w:val="24"/>
        </w:rPr>
      </w:pPr>
      <w:r>
        <w:rPr>
          <w:rFonts w:cs="Times New Roman"/>
          <w:b/>
          <w:bCs/>
          <w:szCs w:val="24"/>
        </w:rPr>
        <w:t>可核查性</w:t>
      </w:r>
      <w:r>
        <w:rPr>
          <w:rFonts w:cs="Times New Roman"/>
          <w:szCs w:val="24"/>
        </w:rPr>
        <w:t>：实体的活动可以被唯一地追溯到该实体的程度；可核查性检测一般需要检测：</w:t>
      </w:r>
    </w:p>
    <w:p>
      <w:pPr>
        <w:pStyle w:val="21"/>
        <w:numPr>
          <w:ilvl w:val="0"/>
          <w:numId w:val="22"/>
        </w:numPr>
        <w:ind w:left="870" w:leftChars="300" w:hanging="240" w:hangingChars="100"/>
        <w:rPr>
          <w:szCs w:val="24"/>
        </w:rPr>
      </w:pPr>
      <w:r>
        <w:rPr>
          <w:szCs w:val="24"/>
        </w:rPr>
        <w:t>检测系统是否将用户进程与所有者用户相关联，使用户进程行为可以追溯到进程所有者用户。</w:t>
      </w:r>
    </w:p>
    <w:p>
      <w:pPr>
        <w:pStyle w:val="21"/>
        <w:ind w:left="870" w:leftChars="300" w:hanging="240" w:hangingChars="100"/>
        <w:rPr>
          <w:szCs w:val="24"/>
        </w:rPr>
      </w:pPr>
      <w:r>
        <w:rPr>
          <w:szCs w:val="24"/>
        </w:rPr>
        <w:t>检测系统是否将系统进程动态地与当前服务要求者用户相关联，使系统进程的行为可以追溯到。</w:t>
      </w:r>
    </w:p>
    <w:p>
      <w:pPr>
        <w:pStyle w:val="17"/>
        <w:numPr>
          <w:ilvl w:val="0"/>
          <w:numId w:val="18"/>
        </w:numPr>
        <w:ind w:left="781" w:leftChars="200" w:hanging="361" w:hangingChars="150"/>
        <w:rPr>
          <w:rFonts w:cs="Times New Roman"/>
          <w:szCs w:val="24"/>
        </w:rPr>
      </w:pPr>
      <w:r>
        <w:rPr>
          <w:rFonts w:cs="Times New Roman"/>
          <w:b/>
          <w:bCs/>
          <w:szCs w:val="24"/>
        </w:rPr>
        <w:t>真实性</w:t>
      </w:r>
      <w:r>
        <w:rPr>
          <w:rFonts w:cs="Times New Roman"/>
          <w:szCs w:val="24"/>
        </w:rPr>
        <w:t>：对象或资源的身份标识能够被证实符合其声明的程度；真实性检测一般需要检测：</w:t>
      </w:r>
    </w:p>
    <w:p>
      <w:pPr>
        <w:pStyle w:val="21"/>
        <w:numPr>
          <w:ilvl w:val="0"/>
          <w:numId w:val="23"/>
        </w:numPr>
        <w:ind w:left="870" w:leftChars="300" w:hanging="240" w:hangingChars="100"/>
        <w:rPr>
          <w:szCs w:val="24"/>
        </w:rPr>
      </w:pPr>
      <w:r>
        <w:rPr>
          <w:szCs w:val="24"/>
        </w:rPr>
        <w:t>验证软件是否具有当前使用系统的用户列表和配置表。</w:t>
      </w:r>
    </w:p>
    <w:p>
      <w:pPr>
        <w:pStyle w:val="21"/>
        <w:ind w:left="870" w:leftChars="300" w:hanging="240" w:hangingChars="100"/>
        <w:rPr>
          <w:szCs w:val="24"/>
        </w:rPr>
      </w:pPr>
      <w:r>
        <w:rPr>
          <w:szCs w:val="24"/>
        </w:rPr>
        <w:t>验证软件在系统的访问历史数据库中记录的访问登录记录是否完整。</w:t>
      </w:r>
    </w:p>
    <w:p>
      <w:pPr>
        <w:pStyle w:val="21"/>
        <w:ind w:left="870" w:leftChars="300" w:hanging="240" w:hangingChars="100"/>
        <w:rPr>
          <w:szCs w:val="24"/>
        </w:rPr>
      </w:pPr>
      <w:r>
        <w:rPr>
          <w:szCs w:val="24"/>
        </w:rPr>
        <w:t>检查软件是否具有用户使用系统的历史日志及日志管理功能。</w:t>
      </w:r>
    </w:p>
    <w:p>
      <w:pPr>
        <w:pStyle w:val="21"/>
        <w:ind w:left="870" w:leftChars="300" w:hanging="240" w:hangingChars="100"/>
        <w:rPr>
          <w:szCs w:val="24"/>
        </w:rPr>
      </w:pPr>
      <w:r>
        <w:rPr>
          <w:szCs w:val="24"/>
        </w:rPr>
        <w:t>在模拟攻击事件的入侵的情况下，验证软件的日志内容是否有相关记录。</w:t>
      </w:r>
    </w:p>
    <w:p>
      <w:pPr>
        <w:pStyle w:val="21"/>
        <w:ind w:left="870" w:leftChars="300" w:hanging="240" w:hangingChars="100"/>
        <w:rPr>
          <w:szCs w:val="24"/>
        </w:rPr>
      </w:pPr>
      <w:r>
        <w:rPr>
          <w:szCs w:val="24"/>
        </w:rPr>
        <w:t>检查软件中的“用户访问系统和数据”的记录内是否包括防止病毒的“病毒检测记录”。</w:t>
      </w:r>
    </w:p>
    <w:p>
      <w:pPr>
        <w:pStyle w:val="12"/>
        <w:keepNext/>
        <w:keepLines/>
        <w:numPr>
          <w:ilvl w:val="0"/>
          <w:numId w:val="4"/>
        </w:numPr>
        <w:ind w:firstLineChars="0"/>
        <w:outlineLvl w:val="2"/>
        <w:rPr>
          <w:b/>
          <w:bCs/>
        </w:rPr>
      </w:pPr>
      <w:r>
        <w:rPr>
          <w:rFonts w:hint="eastAsia"/>
          <w:b/>
          <w:bCs/>
        </w:rPr>
        <w:t>检测依据</w:t>
      </w:r>
    </w:p>
    <w:p>
      <w:pPr>
        <w:spacing w:line="440" w:lineRule="exact"/>
        <w:rPr>
          <w:sz w:val="24"/>
        </w:rPr>
      </w:pPr>
      <w:r>
        <w:rPr>
          <w:rFonts w:hint="eastAsia"/>
          <w:sz w:val="24"/>
        </w:rPr>
        <w:t>测评参考相关标准与文件主要包括如下内容：</w:t>
      </w:r>
    </w:p>
    <w:p>
      <w:pPr>
        <w:spacing w:line="440" w:lineRule="exact"/>
        <w:rPr>
          <w:sz w:val="24"/>
        </w:rPr>
      </w:pPr>
      <w:r>
        <w:rPr>
          <w:rFonts w:hint="eastAsia"/>
          <w:sz w:val="24"/>
        </w:rPr>
        <w:t>（1）国家标准：</w:t>
      </w:r>
    </w:p>
    <w:p>
      <w:pPr>
        <w:spacing w:line="440" w:lineRule="exact"/>
        <w:ind w:firstLine="480" w:firstLineChars="200"/>
        <w:rPr>
          <w:sz w:val="24"/>
        </w:rPr>
      </w:pPr>
      <w:r>
        <w:rPr>
          <w:rFonts w:hint="eastAsia"/>
          <w:sz w:val="24"/>
        </w:rPr>
        <w:t>GB/T25000.51-2016 《系统与软件工程系统与软件质量要求和评价（SQuaRE） 第 51 部分：就绪可用软件产品（RUSP）的质量要求和检测细则》</w:t>
      </w:r>
    </w:p>
    <w:p>
      <w:pPr>
        <w:spacing w:line="440" w:lineRule="exact"/>
        <w:ind w:firstLine="480" w:firstLineChars="200"/>
        <w:rPr>
          <w:sz w:val="24"/>
        </w:rPr>
      </w:pPr>
      <w:r>
        <w:rPr>
          <w:rFonts w:hint="eastAsia"/>
          <w:sz w:val="24"/>
        </w:rPr>
        <w:t>GB/T25000.10-2016 《系统与软件工程系统与软件质量要求和评价（SQuaRE） 第 10 部分：系统与软件质量模型》GB/T 8567-2006 《计算机软件文档编制规范》GB/T 9385-2008 《计算机软件需求规格说明规范》GB/T 9386-2008 《计算机软件检测文件编制规范》</w:t>
      </w:r>
    </w:p>
    <w:p>
      <w:pPr>
        <w:spacing w:line="440" w:lineRule="exact"/>
        <w:rPr>
          <w:sz w:val="24"/>
        </w:rPr>
      </w:pPr>
      <w:r>
        <w:rPr>
          <w:rFonts w:hint="eastAsia"/>
          <w:sz w:val="24"/>
        </w:rPr>
        <w:t>（2）项目需求及相关参考文档：</w:t>
      </w:r>
    </w:p>
    <w:p>
      <w:pPr>
        <w:spacing w:line="440" w:lineRule="exact"/>
        <w:ind w:firstLine="480" w:firstLineChars="200"/>
        <w:rPr>
          <w:sz w:val="24"/>
        </w:rPr>
      </w:pPr>
      <w:r>
        <w:rPr>
          <w:rFonts w:hint="eastAsia"/>
          <w:sz w:val="24"/>
        </w:rPr>
        <w:t>《项目招投标文件》</w:t>
      </w:r>
    </w:p>
    <w:p>
      <w:pPr>
        <w:spacing w:line="440" w:lineRule="exact"/>
        <w:ind w:firstLine="480" w:firstLineChars="200"/>
        <w:rPr>
          <w:sz w:val="24"/>
        </w:rPr>
      </w:pPr>
      <w:r>
        <w:rPr>
          <w:rFonts w:hint="eastAsia"/>
          <w:sz w:val="24"/>
        </w:rPr>
        <w:t>《项目合同书》</w:t>
      </w:r>
    </w:p>
    <w:p>
      <w:pPr>
        <w:spacing w:line="440" w:lineRule="exact"/>
        <w:ind w:firstLine="480" w:firstLineChars="200"/>
        <w:rPr>
          <w:sz w:val="24"/>
        </w:rPr>
      </w:pPr>
      <w:r>
        <w:rPr>
          <w:rFonts w:hint="eastAsia"/>
          <w:sz w:val="24"/>
        </w:rPr>
        <w:t>《需求说明书》</w:t>
      </w:r>
    </w:p>
    <w:p>
      <w:pPr>
        <w:spacing w:line="440" w:lineRule="exact"/>
        <w:ind w:firstLine="480" w:firstLineChars="200"/>
        <w:rPr>
          <w:sz w:val="24"/>
        </w:rPr>
      </w:pPr>
      <w:r>
        <w:rPr>
          <w:rFonts w:hint="eastAsia"/>
          <w:sz w:val="24"/>
        </w:rPr>
        <w:t>《概要设计说明书》</w:t>
      </w:r>
    </w:p>
    <w:p>
      <w:pPr>
        <w:spacing w:line="440" w:lineRule="exact"/>
        <w:ind w:firstLine="480" w:firstLineChars="200"/>
        <w:rPr>
          <w:sz w:val="24"/>
        </w:rPr>
      </w:pPr>
      <w:r>
        <w:rPr>
          <w:rFonts w:hint="eastAsia"/>
          <w:sz w:val="24"/>
        </w:rPr>
        <w:t>《数据库设计说明书》</w:t>
      </w:r>
    </w:p>
    <w:p>
      <w:pPr>
        <w:spacing w:line="440" w:lineRule="exact"/>
        <w:ind w:firstLine="480" w:firstLineChars="200"/>
        <w:rPr>
          <w:sz w:val="24"/>
        </w:rPr>
      </w:pPr>
      <w:r>
        <w:rPr>
          <w:rFonts w:hint="eastAsia"/>
          <w:sz w:val="24"/>
        </w:rPr>
        <w:t>《详细设计说明书》</w:t>
      </w:r>
    </w:p>
    <w:p>
      <w:pPr>
        <w:spacing w:line="440" w:lineRule="exact"/>
        <w:ind w:firstLine="480" w:firstLineChars="200"/>
        <w:rPr>
          <w:sz w:val="24"/>
        </w:rPr>
      </w:pPr>
      <w:r>
        <w:rPr>
          <w:rFonts w:hint="eastAsia"/>
          <w:sz w:val="24"/>
        </w:rPr>
        <w:t>《用户使用手册》</w:t>
      </w:r>
    </w:p>
    <w:p>
      <w:pPr>
        <w:spacing w:line="440" w:lineRule="exact"/>
        <w:ind w:firstLine="480" w:firstLineChars="200"/>
        <w:rPr>
          <w:sz w:val="24"/>
        </w:rPr>
      </w:pPr>
      <w:r>
        <w:rPr>
          <w:rFonts w:hint="eastAsia"/>
          <w:sz w:val="24"/>
        </w:rPr>
        <w:t>《操作手册》</w:t>
      </w:r>
    </w:p>
    <w:p>
      <w:pPr>
        <w:spacing w:line="440" w:lineRule="exact"/>
        <w:ind w:firstLine="480" w:firstLineChars="200"/>
        <w:rPr>
          <w:sz w:val="24"/>
        </w:rPr>
      </w:pPr>
      <w:r>
        <w:rPr>
          <w:rFonts w:hint="eastAsia"/>
          <w:sz w:val="24"/>
        </w:rPr>
        <w:t>《系统维护手册》</w:t>
      </w:r>
    </w:p>
    <w:p>
      <w:pPr>
        <w:spacing w:line="440" w:lineRule="exact"/>
        <w:ind w:firstLine="480" w:firstLineChars="200"/>
        <w:rPr>
          <w:sz w:val="24"/>
        </w:rPr>
      </w:pPr>
      <w:r>
        <w:rPr>
          <w:rFonts w:hint="eastAsia"/>
          <w:sz w:val="24"/>
        </w:rPr>
        <w:t>《系统安装手册》</w:t>
      </w:r>
    </w:p>
    <w:p>
      <w:pPr>
        <w:spacing w:line="440" w:lineRule="exact"/>
        <w:ind w:firstLine="480" w:firstLineChars="200"/>
        <w:rPr>
          <w:sz w:val="24"/>
        </w:rPr>
      </w:pPr>
      <w:r>
        <w:rPr>
          <w:rFonts w:hint="eastAsia"/>
          <w:sz w:val="24"/>
        </w:rPr>
        <w:t>《工程变更单》</w:t>
      </w:r>
    </w:p>
    <w:p>
      <w:pPr>
        <w:spacing w:line="440" w:lineRule="exact"/>
        <w:ind w:firstLine="480" w:firstLineChars="200"/>
        <w:rPr>
          <w:sz w:val="24"/>
        </w:rPr>
      </w:pPr>
      <w:r>
        <w:rPr>
          <w:rFonts w:hint="eastAsia"/>
          <w:sz w:val="24"/>
        </w:rPr>
        <w:t>《软件系统建设方案》等</w:t>
      </w:r>
    </w:p>
    <w:p>
      <w:pPr>
        <w:spacing w:line="440" w:lineRule="exact"/>
        <w:ind w:firstLine="480" w:firstLineChars="200"/>
        <w:rPr>
          <w:sz w:val="24"/>
        </w:rPr>
      </w:pPr>
      <w:r>
        <w:rPr>
          <w:rFonts w:hint="eastAsia"/>
          <w:sz w:val="24"/>
        </w:rPr>
        <w:t>在进行检测时依据的相关标准、规范次序如下：优先依据软件开发合同及系统需求说明书中约定的验收依据、规范；其次依据相关国家、国际标准；再次依据相关行业标准/地方标准/内部和管理规范。当各检测依据之间存在不一致之处时，以优先级高的为准。</w:t>
      </w:r>
    </w:p>
    <w:bookmarkEnd w:id="0"/>
    <w:bookmarkEnd w:id="1"/>
    <w:p>
      <w:pPr>
        <w:pStyle w:val="12"/>
        <w:keepNext/>
        <w:keepLines/>
        <w:numPr>
          <w:ilvl w:val="0"/>
          <w:numId w:val="4"/>
        </w:numPr>
        <w:ind w:firstLineChars="0"/>
        <w:outlineLvl w:val="2"/>
        <w:rPr>
          <w:b/>
          <w:bCs/>
        </w:rPr>
      </w:pPr>
      <w:bookmarkStart w:id="3" w:name="_Toc134626284"/>
      <w:bookmarkStart w:id="4" w:name="_Toc134626173"/>
      <w:r>
        <w:rPr>
          <w:rFonts w:hint="eastAsia"/>
          <w:b/>
          <w:bCs/>
        </w:rPr>
        <w:t>检测准则</w:t>
      </w:r>
    </w:p>
    <w:p>
      <w:pPr>
        <w:pStyle w:val="12"/>
        <w:numPr>
          <w:ilvl w:val="0"/>
          <w:numId w:val="24"/>
        </w:numPr>
        <w:spacing w:line="440" w:lineRule="exact"/>
        <w:ind w:firstLineChars="0"/>
      </w:pPr>
      <w:r>
        <w:rPr>
          <w:rFonts w:hint="eastAsia"/>
        </w:rPr>
        <w:t>科学、客观、公正、高效原则：坚持科学、客观、公正、高效的基本原则，完成检测工作。</w:t>
      </w:r>
    </w:p>
    <w:p>
      <w:pPr>
        <w:pStyle w:val="12"/>
        <w:numPr>
          <w:ilvl w:val="0"/>
          <w:numId w:val="24"/>
        </w:numPr>
        <w:spacing w:line="440" w:lineRule="exact"/>
        <w:ind w:firstLineChars="0"/>
      </w:pPr>
      <w:r>
        <w:rPr>
          <w:rFonts w:hint="eastAsia"/>
        </w:rPr>
        <w:t>标准化原则：按照国家及行业相关标准开展检测工作。</w:t>
      </w:r>
    </w:p>
    <w:p>
      <w:pPr>
        <w:pStyle w:val="12"/>
        <w:numPr>
          <w:ilvl w:val="0"/>
          <w:numId w:val="24"/>
        </w:numPr>
        <w:spacing w:line="440" w:lineRule="exact"/>
        <w:ind w:firstLineChars="0"/>
      </w:pPr>
      <w:r>
        <w:rPr>
          <w:rFonts w:hint="eastAsia"/>
        </w:rPr>
        <w:t>规范化和制度化：服务过程中，严格按照规范化作风要求所有检测人员，做到纪律严明，按章办事，严守规则，提供高质量的检测技术服务。</w:t>
      </w:r>
    </w:p>
    <w:p>
      <w:pPr>
        <w:pStyle w:val="12"/>
        <w:numPr>
          <w:ilvl w:val="0"/>
          <w:numId w:val="24"/>
        </w:numPr>
        <w:spacing w:line="440" w:lineRule="exact"/>
        <w:ind w:firstLineChars="0"/>
      </w:pPr>
      <w:r>
        <w:rPr>
          <w:rFonts w:hint="eastAsia"/>
        </w:rPr>
        <w:t>保密原则：对在检测服务过程中所涉及的有关本项目的技术方案以及财务等方面的资料严格保密。</w:t>
      </w:r>
    </w:p>
    <w:p>
      <w:pPr>
        <w:pStyle w:val="12"/>
        <w:keepNext/>
        <w:keepLines/>
        <w:numPr>
          <w:ilvl w:val="0"/>
          <w:numId w:val="4"/>
        </w:numPr>
        <w:ind w:firstLineChars="0"/>
        <w:outlineLvl w:val="2"/>
        <w:rPr>
          <w:b/>
          <w:bCs/>
        </w:rPr>
      </w:pPr>
      <w:r>
        <w:rPr>
          <w:rFonts w:hint="eastAsia"/>
          <w:b/>
          <w:bCs/>
        </w:rPr>
        <w:t>项目</w:t>
      </w:r>
      <w:r>
        <w:rPr>
          <w:b/>
          <w:bCs/>
        </w:rPr>
        <w:t>交付成果</w:t>
      </w:r>
      <w:bookmarkEnd w:id="3"/>
      <w:bookmarkEnd w:id="4"/>
    </w:p>
    <w:p>
      <w:pPr>
        <w:spacing w:line="440" w:lineRule="exact"/>
        <w:ind w:firstLine="480" w:firstLineChars="200"/>
        <w:rPr>
          <w:sz w:val="24"/>
        </w:rPr>
      </w:pPr>
      <w:r>
        <w:rPr>
          <w:sz w:val="24"/>
          <w:highlight w:val="yellow"/>
        </w:rPr>
        <w:t>承包人应依据招标单位系统建设要求</w:t>
      </w:r>
      <w:r>
        <w:rPr>
          <w:rFonts w:hint="eastAsia"/>
          <w:sz w:val="24"/>
          <w:highlight w:val="yellow"/>
          <w:lang w:eastAsia="zh-CN"/>
        </w:rPr>
        <w:t>、</w:t>
      </w:r>
      <w:r>
        <w:rPr>
          <w:sz w:val="24"/>
          <w:highlight w:val="yellow"/>
        </w:rPr>
        <w:t>国家有关软件质量检测标准</w:t>
      </w:r>
      <w:r>
        <w:rPr>
          <w:rFonts w:hint="eastAsia"/>
          <w:sz w:val="24"/>
          <w:highlight w:val="yellow"/>
          <w:lang w:val="en-US" w:eastAsia="zh-CN"/>
        </w:rPr>
        <w:t>及国家出台关于全面推进紧密型县域医疗卫生共同体建设的指导意见</w:t>
      </w:r>
      <w:r>
        <w:rPr>
          <w:sz w:val="24"/>
          <w:highlight w:val="yellow"/>
        </w:rPr>
        <w:t>，</w:t>
      </w:r>
      <w:r>
        <w:rPr>
          <w:sz w:val="24"/>
        </w:rPr>
        <w:t>认真分析各系统软件构成及相互间的关系，制定科学严谨的检测规范，对软件的</w:t>
      </w:r>
      <w:r>
        <w:rPr>
          <w:rFonts w:hint="eastAsia"/>
          <w:sz w:val="24"/>
        </w:rPr>
        <w:t>功能性、性能效率、易用性、信息安全性</w:t>
      </w:r>
      <w:r>
        <w:rPr>
          <w:sz w:val="24"/>
        </w:rPr>
        <w:t>等进行全面检测。承包人提交的书面材料中应至少包含以下内容：</w:t>
      </w:r>
    </w:p>
    <w:p>
      <w:pPr>
        <w:spacing w:line="440" w:lineRule="exact"/>
        <w:ind w:firstLine="480" w:firstLineChars="200"/>
        <w:rPr>
          <w:sz w:val="24"/>
        </w:rPr>
      </w:pPr>
      <w:r>
        <w:rPr>
          <w:sz w:val="24"/>
        </w:rPr>
        <w:t>（1）检测报告</w:t>
      </w:r>
      <w:r>
        <w:rPr>
          <w:rFonts w:hint="eastAsia"/>
          <w:sz w:val="24"/>
          <w:lang w:eastAsia="zh-CN"/>
        </w:rPr>
        <w:t>。</w:t>
      </w:r>
      <w:r>
        <w:rPr>
          <w:sz w:val="24"/>
        </w:rPr>
        <w:t>承包人应依据项目建设目标</w:t>
      </w:r>
      <w:r>
        <w:rPr>
          <w:rFonts w:hint="eastAsia"/>
          <w:sz w:val="24"/>
          <w:lang w:eastAsia="zh-CN"/>
        </w:rPr>
        <w:t>、</w:t>
      </w:r>
      <w:r>
        <w:rPr>
          <w:sz w:val="24"/>
        </w:rPr>
        <w:t>国家相关软件质量检测标准，认真执行检测方案，形成符合国家相关标准的软件检测报告。承包人完成检测后，进行检测报告编制工作，其中，检测报告应包含功能检测结果、性能效率检测结果、易用性检测结果等内容，检测完成后汇总形成总的检测报告。</w:t>
      </w:r>
    </w:p>
    <w:p>
      <w:pPr>
        <w:spacing w:line="440" w:lineRule="exact"/>
        <w:ind w:firstLine="480" w:firstLineChars="200"/>
        <w:rPr>
          <w:rFonts w:hint="eastAsia" w:eastAsia="宋体"/>
          <w:sz w:val="24"/>
          <w:highlight w:val="yellow"/>
          <w:lang w:eastAsia="zh-CN"/>
        </w:rPr>
      </w:pPr>
      <w:r>
        <w:rPr>
          <w:rFonts w:hint="eastAsia"/>
          <w:sz w:val="24"/>
          <w:highlight w:val="yellow"/>
          <w:lang w:eastAsia="zh-CN"/>
        </w:rPr>
        <w:t>（</w:t>
      </w:r>
      <w:r>
        <w:rPr>
          <w:rFonts w:hint="eastAsia"/>
          <w:sz w:val="24"/>
          <w:highlight w:val="yellow"/>
          <w:lang w:val="en-US" w:eastAsia="zh-CN"/>
        </w:rPr>
        <w:t>2</w:t>
      </w:r>
      <w:r>
        <w:rPr>
          <w:rFonts w:hint="eastAsia"/>
          <w:sz w:val="24"/>
          <w:highlight w:val="yellow"/>
          <w:lang w:eastAsia="zh-CN"/>
        </w:rPr>
        <w:t>）</w:t>
      </w:r>
      <w:r>
        <w:rPr>
          <w:rFonts w:hint="eastAsia"/>
          <w:sz w:val="24"/>
          <w:highlight w:val="yellow"/>
          <w:lang w:val="en-US" w:eastAsia="zh-CN"/>
        </w:rPr>
        <w:t>检测报告。</w:t>
      </w:r>
      <w:r>
        <w:rPr>
          <w:sz w:val="24"/>
          <w:highlight w:val="yellow"/>
        </w:rPr>
        <w:t>承包人应</w:t>
      </w:r>
      <w:r>
        <w:rPr>
          <w:rFonts w:hint="eastAsia"/>
          <w:sz w:val="24"/>
          <w:highlight w:val="yellow"/>
        </w:rPr>
        <w:t>结合</w:t>
      </w:r>
      <w:r>
        <w:rPr>
          <w:rFonts w:hint="eastAsia"/>
          <w:sz w:val="24"/>
          <w:highlight w:val="yellow"/>
          <w:lang w:val="en-US" w:eastAsia="zh-CN"/>
        </w:rPr>
        <w:t>国家出台关于全面推进紧密型县域医疗卫生共同体建设的指导意见</w:t>
      </w:r>
      <w:r>
        <w:rPr>
          <w:rFonts w:hint="eastAsia"/>
          <w:sz w:val="24"/>
          <w:highlight w:val="yellow"/>
        </w:rPr>
        <w:t>，对比已建设内容，梳理同国家标准的差异，并出具</w:t>
      </w:r>
      <w:r>
        <w:rPr>
          <w:rFonts w:hint="eastAsia"/>
          <w:sz w:val="24"/>
          <w:highlight w:val="yellow"/>
          <w:lang w:val="en-US" w:eastAsia="zh-CN"/>
        </w:rPr>
        <w:t>检测</w:t>
      </w:r>
      <w:bookmarkStart w:id="11" w:name="_GoBack"/>
      <w:bookmarkEnd w:id="11"/>
      <w:r>
        <w:rPr>
          <w:rFonts w:hint="eastAsia"/>
          <w:sz w:val="24"/>
          <w:highlight w:val="yellow"/>
        </w:rPr>
        <w:t>报告</w:t>
      </w:r>
      <w:r>
        <w:rPr>
          <w:rFonts w:hint="eastAsia"/>
          <w:sz w:val="24"/>
          <w:highlight w:val="yellow"/>
          <w:lang w:eastAsia="zh-CN"/>
        </w:rPr>
        <w:t>。</w:t>
      </w:r>
    </w:p>
    <w:p>
      <w:pPr>
        <w:pStyle w:val="12"/>
        <w:keepNext/>
        <w:keepLines/>
        <w:numPr>
          <w:ilvl w:val="0"/>
          <w:numId w:val="4"/>
        </w:numPr>
        <w:ind w:firstLineChars="0"/>
        <w:outlineLvl w:val="2"/>
        <w:rPr>
          <w:b/>
          <w:bCs/>
        </w:rPr>
      </w:pPr>
      <w:bookmarkStart w:id="5" w:name="_Toc134626175"/>
      <w:bookmarkStart w:id="6" w:name="_Toc134626286"/>
      <w:r>
        <w:rPr>
          <w:b/>
          <w:bCs/>
        </w:rPr>
        <w:t>检测工具要求</w:t>
      </w:r>
      <w:bookmarkEnd w:id="5"/>
      <w:bookmarkEnd w:id="6"/>
    </w:p>
    <w:p>
      <w:pPr>
        <w:spacing w:line="440" w:lineRule="exact"/>
        <w:ind w:firstLine="480" w:firstLineChars="200"/>
        <w:rPr>
          <w:sz w:val="24"/>
        </w:rPr>
      </w:pPr>
      <w:r>
        <w:rPr>
          <w:sz w:val="24"/>
        </w:rPr>
        <w:t>在检测过程中所使用的测评工具和测评管理工具，应具备通用性、先进性，应保证正版授权。需使用业界主流的软件测评工具，并保证所使用的测评工具具有合法的版权或使用权，本项目使用的测评工具，如在项目使用过程中出现版权或使用权纠纷，应由中标人负责，采购人不承担责任。</w:t>
      </w:r>
    </w:p>
    <w:p>
      <w:pPr>
        <w:pStyle w:val="12"/>
        <w:keepNext/>
        <w:keepLines/>
        <w:numPr>
          <w:ilvl w:val="0"/>
          <w:numId w:val="4"/>
        </w:numPr>
        <w:ind w:firstLineChars="0"/>
        <w:outlineLvl w:val="2"/>
        <w:rPr>
          <w:b/>
          <w:bCs/>
        </w:rPr>
      </w:pPr>
      <w:bookmarkStart w:id="7" w:name="_Toc134626287"/>
      <w:bookmarkStart w:id="8" w:name="_Toc134626176"/>
      <w:r>
        <w:rPr>
          <w:rFonts w:hint="eastAsia"/>
          <w:b/>
          <w:bCs/>
        </w:rPr>
        <w:t>项目团队要求</w:t>
      </w:r>
    </w:p>
    <w:p>
      <w:pPr>
        <w:spacing w:line="440" w:lineRule="exact"/>
        <w:ind w:firstLine="480" w:firstLineChars="200"/>
        <w:rPr>
          <w:sz w:val="24"/>
        </w:rPr>
      </w:pPr>
      <w:r>
        <w:rPr>
          <w:sz w:val="24"/>
        </w:rPr>
        <w:t>测评服务团队</w:t>
      </w:r>
      <w:r>
        <w:rPr>
          <w:rFonts w:hint="eastAsia"/>
          <w:sz w:val="24"/>
        </w:rPr>
        <w:t>需包括项目负责人、检测人员、质量保证员、配置管理员等角色岗位。</w:t>
      </w:r>
    </w:p>
    <w:p>
      <w:pPr>
        <w:pStyle w:val="12"/>
        <w:keepNext/>
        <w:keepLines/>
        <w:numPr>
          <w:ilvl w:val="0"/>
          <w:numId w:val="4"/>
        </w:numPr>
        <w:ind w:firstLineChars="0"/>
        <w:outlineLvl w:val="2"/>
        <w:rPr>
          <w:b/>
          <w:bCs/>
        </w:rPr>
      </w:pPr>
      <w:r>
        <w:rPr>
          <w:b/>
          <w:bCs/>
        </w:rPr>
        <w:t>保密要求</w:t>
      </w:r>
      <w:bookmarkEnd w:id="7"/>
      <w:bookmarkEnd w:id="8"/>
    </w:p>
    <w:p>
      <w:pPr>
        <w:spacing w:line="440" w:lineRule="exact"/>
        <w:ind w:firstLine="480" w:firstLineChars="200"/>
        <w:rPr>
          <w:sz w:val="24"/>
        </w:rPr>
      </w:pPr>
      <w:r>
        <w:rPr>
          <w:sz w:val="24"/>
        </w:rPr>
        <w:t>本项目的内容涉及的所有资料、成果等均为发包人所有，承包人有责任和义务保证项目所涉及全部内容的保密和安全，不得在其他任何场合以任何手段使用。对于本项目中所涉及的全部内容的安全保密，承包人需签署保密协议。对于承包人未经发包人书面同意，以任何方式和渠道泄露项目内容的情况，承包人将承担由此造成的一切损失并承担法律责任。</w:t>
      </w:r>
    </w:p>
    <w:p>
      <w:pPr>
        <w:pStyle w:val="12"/>
        <w:keepNext/>
        <w:keepLines/>
        <w:numPr>
          <w:ilvl w:val="0"/>
          <w:numId w:val="4"/>
        </w:numPr>
        <w:ind w:firstLineChars="0"/>
        <w:outlineLvl w:val="2"/>
        <w:rPr>
          <w:b/>
          <w:bCs/>
        </w:rPr>
      </w:pPr>
      <w:bookmarkStart w:id="9" w:name="_Toc134626177"/>
      <w:bookmarkStart w:id="10" w:name="_Toc134626288"/>
      <w:r>
        <w:rPr>
          <w:rFonts w:hint="eastAsia"/>
          <w:b/>
          <w:bCs/>
        </w:rPr>
        <w:t>项目</w:t>
      </w:r>
      <w:r>
        <w:rPr>
          <w:b/>
          <w:bCs/>
        </w:rPr>
        <w:t>工期要求</w:t>
      </w:r>
      <w:bookmarkEnd w:id="9"/>
      <w:bookmarkEnd w:id="10"/>
    </w:p>
    <w:p>
      <w:pPr>
        <w:spacing w:line="440" w:lineRule="exact"/>
        <w:ind w:firstLine="480" w:firstLineChars="200"/>
        <w:rPr>
          <w:sz w:val="24"/>
        </w:rPr>
      </w:pPr>
      <w:r>
        <w:rPr>
          <w:sz w:val="24"/>
        </w:rPr>
        <w:t>承包人须根据监理单位计划安排，待其他系统开发标段具备软件检测条件时，开展软件第三方软件检测工作。</w:t>
      </w:r>
    </w:p>
    <w:p>
      <w:pPr>
        <w:spacing w:line="440" w:lineRule="exact"/>
        <w:ind w:firstLine="480" w:firstLineChars="200"/>
        <w:rPr>
          <w:sz w:val="24"/>
        </w:rPr>
      </w:pPr>
      <w:r>
        <w:rPr>
          <w:sz w:val="24"/>
        </w:rPr>
        <w:t>由于本项目的进度依赖于本工程其他标段的建设进度，因此，承包人中标后在发包人组织下需要与其他标段承包人统一协商，共同制定科学的进度计划。</w:t>
      </w:r>
    </w:p>
    <w:sectPr>
      <w:footerReference r:id="rId3" w:type="default"/>
      <w:pgSz w:w="11906" w:h="16838"/>
      <w:pgMar w:top="1984" w:right="1361" w:bottom="187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34813"/>
    <w:multiLevelType w:val="multilevel"/>
    <w:tmpl w:val="15A34813"/>
    <w:lvl w:ilvl="0" w:tentative="0">
      <w:start w:val="1"/>
      <w:numFmt w:val="lowerLetter"/>
      <w:pStyle w:val="17"/>
      <w:suff w:val="nothing"/>
      <w:lvlText w:val="%1）"/>
      <w:lvlJc w:val="left"/>
      <w:pPr>
        <w:ind w:left="426" w:firstLine="0"/>
      </w:pPr>
    </w:lvl>
    <w:lvl w:ilvl="1" w:tentative="0">
      <w:start w:val="1"/>
      <w:numFmt w:val="decimalZero"/>
      <w:isLgl/>
      <w:lvlText w:val="节 %1.%2"/>
      <w:lvlJc w:val="left"/>
      <w:pPr>
        <w:ind w:left="284" w:firstLine="0"/>
      </w:pPr>
      <w:rPr>
        <w:rFonts w:hint="eastAsia"/>
      </w:rPr>
    </w:lvl>
    <w:lvl w:ilvl="2" w:tentative="0">
      <w:start w:val="1"/>
      <w:numFmt w:val="lowerLetter"/>
      <w:lvlText w:val="(%3)"/>
      <w:lvlJc w:val="left"/>
      <w:pPr>
        <w:ind w:left="1004" w:hanging="432"/>
      </w:pPr>
      <w:rPr>
        <w:rFonts w:hint="eastAsia"/>
      </w:rPr>
    </w:lvl>
    <w:lvl w:ilvl="3" w:tentative="0">
      <w:start w:val="1"/>
      <w:numFmt w:val="lowerRoman"/>
      <w:lvlText w:val="(%4)"/>
      <w:lvlJc w:val="right"/>
      <w:pPr>
        <w:ind w:left="1148" w:hanging="144"/>
      </w:pPr>
      <w:rPr>
        <w:rFonts w:hint="eastAsia"/>
      </w:rPr>
    </w:lvl>
    <w:lvl w:ilvl="4" w:tentative="0">
      <w:start w:val="1"/>
      <w:numFmt w:val="decimal"/>
      <w:lvlText w:val="%5)"/>
      <w:lvlJc w:val="left"/>
      <w:pPr>
        <w:ind w:left="1292" w:hanging="432"/>
      </w:pPr>
      <w:rPr>
        <w:rFonts w:hint="eastAsia"/>
      </w:rPr>
    </w:lvl>
    <w:lvl w:ilvl="5" w:tentative="0">
      <w:start w:val="1"/>
      <w:numFmt w:val="lowerLetter"/>
      <w:lvlText w:val="%6)"/>
      <w:lvlJc w:val="left"/>
      <w:pPr>
        <w:ind w:left="1436" w:hanging="432"/>
      </w:pPr>
      <w:rPr>
        <w:rFonts w:hint="eastAsia"/>
      </w:rPr>
    </w:lvl>
    <w:lvl w:ilvl="6" w:tentative="0">
      <w:start w:val="1"/>
      <w:numFmt w:val="lowerRoman"/>
      <w:lvlText w:val="%7)"/>
      <w:lvlJc w:val="right"/>
      <w:pPr>
        <w:ind w:left="1580" w:hanging="288"/>
      </w:pPr>
      <w:rPr>
        <w:rFonts w:hint="eastAsia"/>
      </w:rPr>
    </w:lvl>
    <w:lvl w:ilvl="7" w:tentative="0">
      <w:start w:val="1"/>
      <w:numFmt w:val="lowerLetter"/>
      <w:lvlText w:val="%8."/>
      <w:lvlJc w:val="left"/>
      <w:pPr>
        <w:ind w:left="1724" w:hanging="432"/>
      </w:pPr>
      <w:rPr>
        <w:rFonts w:hint="eastAsia"/>
      </w:rPr>
    </w:lvl>
    <w:lvl w:ilvl="8" w:tentative="0">
      <w:start w:val="1"/>
      <w:numFmt w:val="lowerRoman"/>
      <w:lvlText w:val="%9."/>
      <w:lvlJc w:val="right"/>
      <w:pPr>
        <w:ind w:left="1868" w:hanging="144"/>
      </w:pPr>
      <w:rPr>
        <w:rFonts w:hint="eastAsia"/>
      </w:rPr>
    </w:lvl>
  </w:abstractNum>
  <w:abstractNum w:abstractNumId="1">
    <w:nsid w:val="1837264B"/>
    <w:multiLevelType w:val="multilevel"/>
    <w:tmpl w:val="1837264B"/>
    <w:lvl w:ilvl="0" w:tentative="0">
      <w:start w:val="1"/>
      <w:numFmt w:val="decimal"/>
      <w:pStyle w:val="21"/>
      <w:suff w:val="space"/>
      <w:lvlText w:val="%1)"/>
      <w:lvlJc w:val="left"/>
      <w:pPr>
        <w:ind w:left="1134" w:firstLine="0"/>
      </w:pPr>
      <w:rPr>
        <w:rFonts w:hint="default" w:ascii="Times New Roman" w:hAnsi="Times New Roman" w:cs="Times New Roman"/>
      </w:rPr>
    </w:lvl>
    <w:lvl w:ilvl="1" w:tentative="0">
      <w:start w:val="1"/>
      <w:numFmt w:val="decimal"/>
      <w:lvlText w:val="%2）"/>
      <w:lvlJc w:val="left"/>
      <w:pPr>
        <w:ind w:left="1640" w:hanging="360"/>
      </w:pPr>
      <w:rPr>
        <w:rFonts w:hint="default"/>
      </w:r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
    <w:nsid w:val="1E974062"/>
    <w:multiLevelType w:val="multilevel"/>
    <w:tmpl w:val="1E974062"/>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1ED5023E"/>
    <w:multiLevelType w:val="multilevel"/>
    <w:tmpl w:val="1ED5023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22B70CD0"/>
    <w:multiLevelType w:val="multilevel"/>
    <w:tmpl w:val="22B70CD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25C070CE"/>
    <w:multiLevelType w:val="multilevel"/>
    <w:tmpl w:val="25C070C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4411011C"/>
    <w:multiLevelType w:val="multilevel"/>
    <w:tmpl w:val="4411011C"/>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545C19F2"/>
    <w:multiLevelType w:val="multilevel"/>
    <w:tmpl w:val="545C19F2"/>
    <w:lvl w:ilvl="0" w:tentative="0">
      <w:start w:val="1"/>
      <w:numFmt w:val="decimal"/>
      <w:suff w:val="nothing"/>
      <w:lvlText w:val="（%1）"/>
      <w:lvlJc w:val="left"/>
      <w:pPr>
        <w:ind w:left="0" w:firstLine="369"/>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60BE255E"/>
    <w:multiLevelType w:val="multilevel"/>
    <w:tmpl w:val="60BE255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683A4238"/>
    <w:multiLevelType w:val="multilevel"/>
    <w:tmpl w:val="683A423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73FD08A7"/>
    <w:multiLevelType w:val="multilevel"/>
    <w:tmpl w:val="73FD08A7"/>
    <w:lvl w:ilvl="0" w:tentative="0">
      <w:start w:val="1"/>
      <w:numFmt w:val="decimal"/>
      <w:suff w:val="space"/>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76A13E14"/>
    <w:multiLevelType w:val="multilevel"/>
    <w:tmpl w:val="76A13E14"/>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7ED9223E"/>
    <w:multiLevelType w:val="multilevel"/>
    <w:tmpl w:val="7ED9223E"/>
    <w:lvl w:ilvl="0" w:tentative="0">
      <w:start w:val="1"/>
      <w:numFmt w:val="decimal"/>
      <w:pStyle w:val="13"/>
      <w:suff w:val="nothing"/>
      <w:lvlText w:val="%1 "/>
      <w:lvlJc w:val="left"/>
      <w:pPr>
        <w:ind w:left="0" w:firstLine="0"/>
      </w:pPr>
      <w:rPr>
        <w:rFonts w:hint="eastAsia"/>
        <w:sz w:val="36"/>
        <w:szCs w:val="36"/>
      </w:rPr>
    </w:lvl>
    <w:lvl w:ilvl="1" w:tentative="0">
      <w:start w:val="1"/>
      <w:numFmt w:val="decimal"/>
      <w:pStyle w:val="14"/>
      <w:suff w:val="nothing"/>
      <w:lvlText w:val="%1.%2 "/>
      <w:lvlJc w:val="left"/>
      <w:pPr>
        <w:ind w:left="0" w:firstLine="0"/>
      </w:pPr>
      <w:rPr>
        <w:rFonts w:hint="eastAsia"/>
      </w:rPr>
    </w:lvl>
    <w:lvl w:ilvl="2" w:tentative="0">
      <w:start w:val="1"/>
      <w:numFmt w:val="decimal"/>
      <w:pStyle w:val="16"/>
      <w:suff w:val="nothing"/>
      <w:lvlText w:val="%1.%2.%3 "/>
      <w:lvlJc w:val="left"/>
      <w:pPr>
        <w:ind w:left="0" w:firstLine="0"/>
      </w:pPr>
      <w:rPr>
        <w:rFonts w:hint="default" w:ascii="Times New Roman" w:hAnsi="Times New Roman"/>
      </w:rPr>
    </w:lvl>
    <w:lvl w:ilvl="3" w:tentative="0">
      <w:start w:val="1"/>
      <w:numFmt w:val="decimal"/>
      <w:pStyle w:val="2"/>
      <w:suff w:val="space"/>
      <w:lvlText w:val="%1.%2.%3.%4"/>
      <w:lvlJc w:val="left"/>
      <w:pPr>
        <w:ind w:left="0" w:firstLine="0"/>
      </w:pPr>
      <w:rPr>
        <w:rFonts w:hint="default" w:ascii="Times New Roman" w:hAnsi="Times New Roman"/>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2"/>
  </w:num>
  <w:num w:numId="2">
    <w:abstractNumId w:val="0"/>
  </w:num>
  <w:num w:numId="3">
    <w:abstractNumId w:val="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TMwYzZiMmI1NjVlMDcyODY0MjdmYTEyMWI0ZmMifQ=="/>
    <w:docVar w:name="KSO_WPS_MARK_KEY" w:val="6cb86872-3576-4f8a-8879-5f91c7f47973"/>
  </w:docVars>
  <w:rsids>
    <w:rsidRoot w:val="00B01AF1"/>
    <w:rsid w:val="000D6255"/>
    <w:rsid w:val="000E104C"/>
    <w:rsid w:val="00104C30"/>
    <w:rsid w:val="00251494"/>
    <w:rsid w:val="002576E5"/>
    <w:rsid w:val="002F57A4"/>
    <w:rsid w:val="00313380"/>
    <w:rsid w:val="003F2665"/>
    <w:rsid w:val="004354EA"/>
    <w:rsid w:val="00452C3E"/>
    <w:rsid w:val="00453F32"/>
    <w:rsid w:val="0050191D"/>
    <w:rsid w:val="00523F3E"/>
    <w:rsid w:val="005D64F2"/>
    <w:rsid w:val="005D72FF"/>
    <w:rsid w:val="00624F9E"/>
    <w:rsid w:val="0067656E"/>
    <w:rsid w:val="0077030D"/>
    <w:rsid w:val="00772483"/>
    <w:rsid w:val="007741A8"/>
    <w:rsid w:val="007831B0"/>
    <w:rsid w:val="00786B41"/>
    <w:rsid w:val="007942AF"/>
    <w:rsid w:val="007A66FA"/>
    <w:rsid w:val="00841B84"/>
    <w:rsid w:val="008A3457"/>
    <w:rsid w:val="008A5D7E"/>
    <w:rsid w:val="008F5E5B"/>
    <w:rsid w:val="009548A4"/>
    <w:rsid w:val="00997987"/>
    <w:rsid w:val="00A0433D"/>
    <w:rsid w:val="00A52ED2"/>
    <w:rsid w:val="00A935ED"/>
    <w:rsid w:val="00B01AF1"/>
    <w:rsid w:val="00B01F04"/>
    <w:rsid w:val="00B17BE0"/>
    <w:rsid w:val="00BA7713"/>
    <w:rsid w:val="00CE3777"/>
    <w:rsid w:val="00CF4F22"/>
    <w:rsid w:val="00D020F5"/>
    <w:rsid w:val="00E26F58"/>
    <w:rsid w:val="00EE3ECE"/>
    <w:rsid w:val="00FD4460"/>
    <w:rsid w:val="00FE6947"/>
    <w:rsid w:val="2291533D"/>
    <w:rsid w:val="25F7116C"/>
    <w:rsid w:val="2ADE799E"/>
    <w:rsid w:val="329F09CA"/>
    <w:rsid w:val="586E44CF"/>
    <w:rsid w:val="753008EC"/>
    <w:rsid w:val="7B74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character" w:styleId="8">
    <w:name w:val="annotation reference"/>
    <w:qFormat/>
    <w:uiPriority w:val="0"/>
    <w:rPr>
      <w:sz w:val="21"/>
    </w:rPr>
  </w:style>
  <w:style w:type="character" w:customStyle="1" w:styleId="9">
    <w:name w:val="页眉 字符"/>
    <w:basedOn w:val="7"/>
    <w:link w:val="5"/>
    <w:qFormat/>
    <w:uiPriority w:val="0"/>
    <w:rPr>
      <w:rFonts w:ascii="Times New Roman" w:hAnsi="Times New Roman" w:eastAsia="宋体" w:cs="Times New Roman"/>
      <w:kern w:val="2"/>
      <w:sz w:val="18"/>
      <w:szCs w:val="18"/>
    </w:rPr>
  </w:style>
  <w:style w:type="character" w:customStyle="1" w:styleId="10">
    <w:name w:val="页脚 字符"/>
    <w:basedOn w:val="7"/>
    <w:link w:val="4"/>
    <w:qFormat/>
    <w:uiPriority w:val="0"/>
    <w:rPr>
      <w:rFonts w:ascii="Times New Roman" w:hAnsi="Times New Roman" w:eastAsia="宋体" w:cs="Times New Roman"/>
      <w:kern w:val="2"/>
      <w:sz w:val="18"/>
      <w:szCs w:val="18"/>
    </w:rPr>
  </w:style>
  <w:style w:type="character" w:customStyle="1" w:styleId="11">
    <w:name w:val="标题 4 字符"/>
    <w:basedOn w:val="7"/>
    <w:link w:val="2"/>
    <w:uiPriority w:val="9"/>
    <w:rPr>
      <w:rFonts w:asciiTheme="majorHAnsi" w:hAnsiTheme="majorHAnsi" w:eastAsiaTheme="majorEastAsia" w:cstheme="majorBidi"/>
      <w:b/>
      <w:bCs/>
      <w:kern w:val="2"/>
      <w:sz w:val="28"/>
      <w:szCs w:val="28"/>
    </w:rPr>
  </w:style>
  <w:style w:type="paragraph" w:styleId="12">
    <w:name w:val="List Paragraph"/>
    <w:basedOn w:val="1"/>
    <w:link w:val="15"/>
    <w:qFormat/>
    <w:uiPriority w:val="34"/>
    <w:pPr>
      <w:spacing w:line="360" w:lineRule="auto"/>
      <w:ind w:firstLine="420" w:firstLineChars="200"/>
    </w:pPr>
    <w:rPr>
      <w:rFonts w:cstheme="minorBidi"/>
      <w:sz w:val="24"/>
      <w:szCs w:val="22"/>
    </w:rPr>
  </w:style>
  <w:style w:type="paragraph" w:customStyle="1" w:styleId="13">
    <w:name w:val="文件一级标题"/>
    <w:basedOn w:val="12"/>
    <w:next w:val="1"/>
    <w:qFormat/>
    <w:uiPriority w:val="0"/>
    <w:pPr>
      <w:numPr>
        <w:ilvl w:val="0"/>
        <w:numId w:val="1"/>
      </w:numPr>
      <w:ind w:firstLineChars="0"/>
      <w:outlineLvl w:val="0"/>
    </w:pPr>
    <w:rPr>
      <w:rFonts w:ascii="宋体" w:hAnsi="宋体"/>
      <w:b/>
      <w:bCs/>
      <w:sz w:val="36"/>
      <w:szCs w:val="36"/>
    </w:rPr>
  </w:style>
  <w:style w:type="paragraph" w:customStyle="1" w:styleId="14">
    <w:name w:val="文件二级标题"/>
    <w:basedOn w:val="12"/>
    <w:next w:val="1"/>
    <w:qFormat/>
    <w:uiPriority w:val="0"/>
    <w:pPr>
      <w:numPr>
        <w:ilvl w:val="1"/>
        <w:numId w:val="1"/>
      </w:numPr>
      <w:ind w:firstLineChars="0"/>
      <w:outlineLvl w:val="1"/>
    </w:pPr>
    <w:rPr>
      <w:rFonts w:ascii="宋体" w:hAnsi="宋体"/>
      <w:b/>
      <w:bCs/>
      <w:sz w:val="32"/>
      <w:szCs w:val="36"/>
    </w:rPr>
  </w:style>
  <w:style w:type="character" w:customStyle="1" w:styleId="15">
    <w:name w:val="列表段落 字符"/>
    <w:basedOn w:val="7"/>
    <w:link w:val="12"/>
    <w:qFormat/>
    <w:uiPriority w:val="34"/>
    <w:rPr>
      <w:rFonts w:ascii="Times New Roman" w:hAnsi="Times New Roman" w:eastAsia="宋体"/>
      <w:kern w:val="2"/>
      <w:sz w:val="24"/>
      <w:szCs w:val="22"/>
    </w:rPr>
  </w:style>
  <w:style w:type="paragraph" w:customStyle="1" w:styleId="16">
    <w:name w:val="正文三级标题"/>
    <w:basedOn w:val="14"/>
    <w:qFormat/>
    <w:uiPriority w:val="0"/>
    <w:pPr>
      <w:numPr>
        <w:ilvl w:val="2"/>
      </w:numPr>
      <w:ind w:left="1247"/>
      <w:outlineLvl w:val="2"/>
    </w:pPr>
    <w:rPr>
      <w:b w:val="0"/>
    </w:rPr>
  </w:style>
  <w:style w:type="paragraph" w:customStyle="1" w:styleId="17">
    <w:name w:val="四级条目"/>
    <w:basedOn w:val="12"/>
    <w:link w:val="18"/>
    <w:qFormat/>
    <w:uiPriority w:val="0"/>
    <w:pPr>
      <w:numPr>
        <w:ilvl w:val="0"/>
        <w:numId w:val="2"/>
      </w:numPr>
      <w:ind w:firstLineChars="0"/>
    </w:pPr>
  </w:style>
  <w:style w:type="character" w:customStyle="1" w:styleId="18">
    <w:name w:val="四级条目 字符"/>
    <w:basedOn w:val="15"/>
    <w:link w:val="17"/>
    <w:qFormat/>
    <w:uiPriority w:val="0"/>
    <w:rPr>
      <w:rFonts w:ascii="Times New Roman" w:hAnsi="Times New Roman" w:eastAsia="宋体"/>
      <w:kern w:val="2"/>
      <w:sz w:val="24"/>
      <w:szCs w:val="22"/>
    </w:rPr>
  </w:style>
  <w:style w:type="paragraph" w:customStyle="1" w:styleId="19">
    <w:name w:val="正文三级"/>
    <w:basedOn w:val="16"/>
    <w:next w:val="1"/>
    <w:link w:val="20"/>
    <w:qFormat/>
    <w:uiPriority w:val="0"/>
    <w:pPr>
      <w:ind w:left="0"/>
    </w:pPr>
    <w:rPr>
      <w:b/>
      <w:bCs w:val="0"/>
      <w:sz w:val="30"/>
    </w:rPr>
  </w:style>
  <w:style w:type="character" w:customStyle="1" w:styleId="20">
    <w:name w:val="正文三级 字符"/>
    <w:basedOn w:val="7"/>
    <w:link w:val="19"/>
    <w:qFormat/>
    <w:uiPriority w:val="0"/>
    <w:rPr>
      <w:rFonts w:ascii="宋体" w:hAnsi="宋体" w:eastAsia="宋体"/>
      <w:b/>
      <w:kern w:val="2"/>
      <w:sz w:val="30"/>
      <w:szCs w:val="36"/>
    </w:rPr>
  </w:style>
  <w:style w:type="paragraph" w:customStyle="1" w:styleId="21">
    <w:name w:val="括号"/>
    <w:basedOn w:val="12"/>
    <w:link w:val="22"/>
    <w:qFormat/>
    <w:uiPriority w:val="0"/>
    <w:pPr>
      <w:numPr>
        <w:ilvl w:val="0"/>
        <w:numId w:val="3"/>
      </w:numPr>
      <w:ind w:firstLineChars="0"/>
    </w:pPr>
    <w:rPr>
      <w:rFonts w:cs="Times New Roman"/>
    </w:rPr>
  </w:style>
  <w:style w:type="character" w:customStyle="1" w:styleId="22">
    <w:name w:val="括号 字符"/>
    <w:basedOn w:val="15"/>
    <w:link w:val="21"/>
    <w:qFormat/>
    <w:uiPriority w:val="0"/>
    <w:rPr>
      <w:rFonts w:ascii="Times New Roman" w:hAnsi="Times New Roman" w:eastAsia="宋体" w:cs="Times New Roman"/>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5614</Words>
  <Characters>5716</Characters>
  <Lines>39</Lines>
  <Paragraphs>11</Paragraphs>
  <TotalTime>1</TotalTime>
  <ScaleCrop>false</ScaleCrop>
  <LinksUpToDate>false</LinksUpToDate>
  <CharactersWithSpaces>5731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2024-09-29T12:29:00Z</dcterms:created>
  <dc:creator>Administrator</dc:creator>
  <cp:lastModifiedBy>☞  高敬敬</cp:lastModifiedBy>
  <cp:lastPrinted>2025-06-12T01:16:00Z</cp:lastPrinted>
  <dcterms:modified xsi:type="dcterms:W3CDTF">2025-06-27T01:17:49Z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99880B32CFE74377AED05C5139E8DFA6_13</vt:lpwstr>
  </property>
  <property fmtid="{D5CDD505-2E9C-101B-9397-08002B2CF9AE}" pid="4" name="KSOTemplateDocerSaveRecord">
    <vt:lpwstr>eyJoZGlkIjoiMWRlZGYwMzljMzcxYTdhODM1YmZhODVmYTAwYjc2M2IiLCJ1c2VySWQiOiIyMDI1MTUxMjAifQ==</vt:lpwstr>
  </property>
</Properties>
</file>