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生物刺激反馈仪（产后康复仪）</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jc w:val="both"/>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2024年5月21日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生物刺激反馈仪（产后康复仪）采购项目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生物刺激反馈仪（产后康复仪）采购项目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default" w:eastAsia="黑体"/>
          <w:lang w:val="en-US" w:eastAsia="zh-CN"/>
        </w:rPr>
      </w:pPr>
      <w:r>
        <w:rPr>
          <w:rFonts w:hint="eastAsia" w:ascii="仿宋_GB2312" w:eastAsia="仿宋_GB2312" w:hAnsiTheme="minorHAnsi" w:cstheme="minorBidi"/>
          <w:kern w:val="2"/>
          <w:sz w:val="32"/>
          <w:szCs w:val="32"/>
          <w:lang w:val="en-US" w:eastAsia="zh-CN" w:bidi="ar-SA"/>
        </w:rPr>
        <w:t>现需采购生物刺激反馈仪（产后康复仪）</w:t>
      </w:r>
      <w:r>
        <w:rPr>
          <w:rFonts w:hint="eastAsia" w:ascii="仿宋_GB2312" w:eastAsia="仿宋_GB2312" w:cstheme="minorBidi"/>
          <w:kern w:val="2"/>
          <w:sz w:val="32"/>
          <w:szCs w:val="32"/>
          <w:lang w:val="en-US" w:eastAsia="zh-CN" w:bidi="ar-SA"/>
        </w:rPr>
        <w:t>2台，用于产后肌肉功能障碍、催乳、产后排尿、子宫复旧以及镇痛的治疗。详细参数见附件。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bookmarkStart w:id="15" w:name="_GoBack"/>
      <w:bookmarkEnd w:id="15"/>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9548"/>
      <w:bookmarkStart w:id="5" w:name="_Toc248896063"/>
      <w:bookmarkStart w:id="6" w:name="_Toc219626747"/>
      <w:bookmarkStart w:id="7" w:name="_Toc337475854"/>
      <w:bookmarkStart w:id="8" w:name="_Toc15313"/>
      <w:bookmarkStart w:id="9" w:name="_Toc320878640"/>
      <w:bookmarkStart w:id="10" w:name="_Toc258333636"/>
      <w:bookmarkStart w:id="11" w:name="_Toc10762"/>
      <w:bookmarkStart w:id="12" w:name="_Toc258360269"/>
      <w:bookmarkStart w:id="13" w:name="_Toc261708863"/>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73258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3E7F11"/>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76132"/>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3369</Words>
  <Characters>3512</Characters>
  <Lines>55</Lines>
  <Paragraphs>15</Paragraphs>
  <TotalTime>84</TotalTime>
  <ScaleCrop>false</ScaleCrop>
  <LinksUpToDate>false</LinksUpToDate>
  <CharactersWithSpaces>3948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2024-05-23T00:23:16Z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