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信息耗材供应项目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2024年1月12日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信息耗材供应项目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信息耗材供应项目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项目清单：</w:t>
      </w:r>
      <w:r>
        <w:rPr>
          <w:rFonts w:hint="eastAsia" w:ascii="仿宋_GB2312" w:hAnsi="Calibri" w:eastAsia="仿宋_GB2312" w:cs="Times New Roman"/>
          <w:kern w:val="2"/>
          <w:sz w:val="32"/>
          <w:szCs w:val="32"/>
          <w:lang w:val="en-US" w:eastAsia="zh-CN" w:bidi="ar-SA"/>
        </w:rPr>
        <w:t>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ascii="仿宋_GB2312" w:eastAsia="仿宋_GB2312"/>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具有合法的经营资质，所供产品需具有三包凭证</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31</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p>
    <w:p>
      <w:pPr>
        <w:keepNext w:val="0"/>
        <w:keepLines w:val="0"/>
        <w:pageBreakBefore w:val="0"/>
        <w:numPr>
          <w:ilvl w:val="0"/>
          <w:numId w:val="0"/>
        </w:numPr>
        <w:kinsoku/>
        <w:wordWrap/>
        <w:overflowPunct/>
        <w:topLinePunct w:val="0"/>
        <w:autoSpaceDE/>
        <w:autoSpaceDN/>
        <w:bidi w:val="0"/>
        <w:snapToGrid/>
        <w:spacing w:line="560" w:lineRule="exact"/>
        <w:ind w:left="630" w:leftChars="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w:t>
            </w:r>
            <w:r>
              <w:rPr>
                <w:rFonts w:hint="eastAsia" w:ascii="宋体" w:hAnsi="宋体" w:cs="宋体"/>
                <w:color w:val="000000" w:themeColor="text1"/>
                <w:szCs w:val="21"/>
                <w:highlight w:val="yellow"/>
                <w14:textFill>
                  <w14:solidFill>
                    <w14:schemeClr w14:val="tx1"/>
                  </w14:solidFill>
                </w14:textFill>
              </w:rPr>
              <w:t>部分：</w:t>
            </w:r>
            <w:r>
              <w:rPr>
                <w:rFonts w:hint="eastAsia" w:ascii="宋体" w:hAnsi="宋体" w:cs="宋体"/>
                <w:color w:val="000000" w:themeColor="text1"/>
                <w:szCs w:val="21"/>
                <w:highlight w:val="yellow"/>
                <w:lang w:val="en-US" w:eastAsia="zh-CN"/>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30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15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产品技术</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30</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根据产品的实用性，与项目的契合程度在</w:t>
            </w:r>
            <w:r>
              <w:rPr>
                <w:rFonts w:hint="eastAsia" w:ascii="宋体" w:hAnsi="宋体" w:cs="宋体"/>
                <w:color w:val="000000" w:themeColor="text1"/>
                <w:szCs w:val="21"/>
                <w:highlight w:val="yellow"/>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10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eastAsia="zh-CN"/>
                <w14:textFill>
                  <w14:solidFill>
                    <w14:schemeClr w14:val="tx1"/>
                  </w14:solidFill>
                </w14:textFill>
              </w:rPr>
              <w:t>根据</w:t>
            </w:r>
            <w:r>
              <w:rPr>
                <w:rFonts w:hint="eastAsia" w:ascii="宋体" w:hAnsi="宋体" w:cs="宋体"/>
                <w:color w:val="000000" w:themeColor="text1"/>
                <w:kern w:val="0"/>
                <w:szCs w:val="21"/>
                <w:highlight w:val="yellow"/>
                <w14:textFill>
                  <w14:solidFill>
                    <w14:schemeClr w14:val="tx1"/>
                  </w14:solidFill>
                </w14:textFill>
              </w:rPr>
              <w:t>人员、设备、资金等方面具有相应较强的供应、和售后服务能力</w:t>
            </w:r>
            <w:r>
              <w:rPr>
                <w:rFonts w:hint="eastAsia" w:ascii="宋体" w:hAnsi="宋体" w:cs="宋体"/>
                <w:color w:val="000000" w:themeColor="text1"/>
                <w:kern w:val="0"/>
                <w:szCs w:val="21"/>
                <w:highlight w:val="yellow"/>
                <w:lang w:eastAsia="zh-CN"/>
                <w14:textFill>
                  <w14:solidFill>
                    <w14:schemeClr w14:val="tx1"/>
                  </w14:solidFill>
                </w14:textFill>
              </w:rPr>
              <w:t>等在</w:t>
            </w:r>
            <w:r>
              <w:rPr>
                <w:rFonts w:hint="eastAsia" w:ascii="宋体" w:hAnsi="宋体" w:cs="宋体"/>
                <w:color w:val="000000" w:themeColor="text1"/>
                <w:kern w:val="0"/>
                <w:szCs w:val="21"/>
                <w:highlight w:val="yellow"/>
                <w:lang w:val="en-US" w:eastAsia="zh-CN"/>
                <w14:textFill>
                  <w14:solidFill>
                    <w14:schemeClr w14:val="tx1"/>
                  </w14:solidFill>
                </w14:textFill>
              </w:rPr>
              <w:t>0-10分范围内打分</w:t>
            </w:r>
            <w:r>
              <w:rPr>
                <w:rFonts w:hint="eastAsia" w:ascii="宋体" w:hAnsi="宋体" w:cs="宋体"/>
                <w:color w:val="000000" w:themeColor="text1"/>
                <w:szCs w:val="21"/>
                <w:highlight w:val="yello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1.具有201</w:t>
            </w:r>
            <w:r>
              <w:rPr>
                <w:rFonts w:hint="eastAsia" w:ascii="宋体" w:hAnsi="宋体" w:cs="宋体"/>
                <w:color w:val="000000" w:themeColor="text1"/>
                <w:kern w:val="0"/>
                <w:szCs w:val="21"/>
                <w:highlight w:val="yellow"/>
                <w:lang w:val="en-US" w:eastAsia="zh-CN"/>
                <w14:textFill>
                  <w14:solidFill>
                    <w14:schemeClr w14:val="tx1"/>
                  </w14:solidFill>
                </w14:textFill>
              </w:rPr>
              <w:t>8</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25分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根据产品的配送速度在0-10分范围内进行打分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根据产品的售后方案在0-10分范围内进行打分</w:t>
            </w:r>
          </w:p>
          <w:p>
            <w:pPr>
              <w:pStyle w:val="2"/>
              <w:numPr>
                <w:ilvl w:val="0"/>
                <w:numId w:val="8"/>
              </w:numPr>
              <w:rPr>
                <w:rFonts w:hint="eastAsia"/>
                <w:highlight w:val="yellow"/>
                <w:lang w:val="en-US" w:eastAsia="zh-CN"/>
              </w:rPr>
            </w:pPr>
            <w:r>
              <w:rPr>
                <w:rFonts w:hint="eastAsia"/>
                <w:highlight w:val="yellow"/>
                <w:lang w:val="en-US" w:eastAsia="zh-CN"/>
              </w:rPr>
              <w:t>根据其他优惠条件在0-5分范围内打分</w:t>
            </w:r>
          </w:p>
        </w:tc>
      </w:tr>
    </w:tbl>
    <w:p>
      <w:pPr>
        <w:pStyle w:val="2"/>
        <w:rPr>
          <w:rFonts w:hint="eastAsia"/>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信息耗材供应合同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rPr>
        <w:t>为构建诚信、公正、和谐的</w:t>
      </w:r>
      <w:r>
        <w:rPr>
          <w:rFonts w:hint="eastAsia" w:ascii="仿宋" w:hAnsi="仿宋" w:eastAsia="仿宋" w:cs="仿宋"/>
          <w:color w:val="auto"/>
          <w:spacing w:val="4"/>
          <w:sz w:val="24"/>
          <w:lang w:eastAsia="zh-CN"/>
        </w:rPr>
        <w:t>五金水暖电料</w:t>
      </w:r>
      <w:r>
        <w:rPr>
          <w:rFonts w:hint="eastAsia" w:ascii="仿宋" w:hAnsi="仿宋" w:eastAsia="仿宋" w:cs="仿宋"/>
          <w:color w:val="auto"/>
          <w:spacing w:val="4"/>
          <w:sz w:val="24"/>
        </w:rPr>
        <w:t>购销秩序，维护</w:t>
      </w:r>
      <w:r>
        <w:rPr>
          <w:rFonts w:hint="eastAsia" w:ascii="仿宋" w:hAnsi="仿宋" w:eastAsia="仿宋" w:cs="仿宋"/>
          <w:color w:val="auto"/>
          <w:spacing w:val="4"/>
          <w:sz w:val="24"/>
          <w:lang w:eastAsia="zh-CN"/>
        </w:rPr>
        <w:t>五金水暖电料</w:t>
      </w:r>
      <w:r>
        <w:rPr>
          <w:rFonts w:hint="eastAsia" w:ascii="仿宋" w:hAnsi="仿宋" w:eastAsia="仿宋" w:cs="仿宋"/>
          <w:color w:val="auto"/>
          <w:spacing w:val="4"/>
          <w:sz w:val="24"/>
        </w:rPr>
        <w:t>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买五金水暖电料</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w:t>
      </w:r>
      <w:r>
        <w:rPr>
          <w:rFonts w:hint="eastAsia" w:ascii="仿宋" w:hAnsi="仿宋" w:eastAsia="仿宋" w:cs="仿宋"/>
          <w:color w:val="auto"/>
          <w:spacing w:val="4"/>
          <w:sz w:val="24"/>
          <w:highlight w:val="none"/>
        </w:rPr>
        <w:t>供货的品种、规格、数量等，均以甲方采购计划或申请为准，供货的时间以双方最终确认的时间为准，</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w:t>
      </w:r>
      <w:r>
        <w:rPr>
          <w:rFonts w:hint="eastAsia" w:ascii="仿宋" w:hAnsi="仿宋" w:eastAsia="仿宋" w:cs="仿宋"/>
          <w:color w:val="auto"/>
          <w:spacing w:val="4"/>
          <w:sz w:val="24"/>
          <w:highlight w:val="none"/>
          <w:lang w:eastAsia="zh-CN"/>
        </w:rPr>
        <w:t>物资</w:t>
      </w:r>
      <w:r>
        <w:rPr>
          <w:rFonts w:hint="eastAsia" w:ascii="仿宋" w:hAnsi="仿宋" w:eastAsia="仿宋" w:cs="仿宋"/>
          <w:color w:val="auto"/>
          <w:spacing w:val="4"/>
          <w:sz w:val="24"/>
          <w:highlight w:val="none"/>
        </w:rPr>
        <w:t>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 xml:space="preserve"> 2</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 xml:space="preserve">、供货期内，乙方工作人员必须按照甲方规定的工作流程进行，否则，甲方有权拒绝办理出入库手续、付款手续，一切损失由乙方自行承担。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lang w:eastAsia="zh-CN"/>
        </w:rPr>
        <w:t>二</w:t>
      </w:r>
      <w:r>
        <w:rPr>
          <w:rFonts w:hint="eastAsia" w:ascii="仿宋" w:hAnsi="仿宋" w:eastAsia="仿宋" w:cs="仿宋"/>
          <w:b/>
          <w:color w:val="auto"/>
          <w:spacing w:val="4"/>
          <w:sz w:val="28"/>
          <w:szCs w:val="28"/>
          <w:highlight w:val="none"/>
        </w:rPr>
        <w:t>、</w:t>
      </w:r>
      <w:r>
        <w:rPr>
          <w:rFonts w:hint="eastAsia" w:ascii="仿宋" w:hAnsi="仿宋" w:eastAsia="仿宋" w:cs="仿宋"/>
          <w:b/>
          <w:color w:val="auto"/>
          <w:spacing w:val="4"/>
          <w:sz w:val="28"/>
          <w:szCs w:val="28"/>
          <w:highlight w:val="none"/>
          <w:lang w:eastAsia="zh-CN"/>
        </w:rPr>
        <w:t>物资</w:t>
      </w:r>
      <w:r>
        <w:rPr>
          <w:rFonts w:hint="eastAsia" w:ascii="仿宋" w:hAnsi="仿宋" w:eastAsia="仿宋" w:cs="仿宋"/>
          <w:b/>
          <w:color w:val="auto"/>
          <w:spacing w:val="4"/>
          <w:sz w:val="28"/>
          <w:szCs w:val="28"/>
          <w:highlight w:val="none"/>
        </w:rPr>
        <w:t>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方配送交货地点由甲方指定。</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三</w:t>
      </w:r>
      <w:r>
        <w:rPr>
          <w:rFonts w:hint="eastAsia" w:ascii="仿宋" w:hAnsi="仿宋" w:eastAsia="仿宋" w:cs="仿宋"/>
          <w:b/>
          <w:color w:val="auto"/>
          <w:spacing w:val="4"/>
          <w:sz w:val="28"/>
          <w:szCs w:val="28"/>
          <w:highlight w:val="none"/>
        </w:rPr>
        <w:t>、验收方式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四</w:t>
      </w:r>
      <w:r>
        <w:rPr>
          <w:rFonts w:hint="eastAsia" w:ascii="仿宋" w:hAnsi="仿宋" w:eastAsia="仿宋" w:cs="仿宋"/>
          <w:b/>
          <w:color w:val="auto"/>
          <w:spacing w:val="4"/>
          <w:sz w:val="28"/>
          <w:szCs w:val="28"/>
          <w:highlight w:val="none"/>
        </w:rPr>
        <w:t>、货款支付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4、如每年乙方供货不及时超过三次（不可抗力除外），</w:t>
      </w:r>
      <w:r>
        <w:rPr>
          <w:rFonts w:hint="eastAsia" w:ascii="仿宋" w:hAnsi="仿宋" w:eastAsia="仿宋" w:cs="仿宋"/>
          <w:color w:val="auto"/>
          <w:spacing w:val="4"/>
          <w:sz w:val="24"/>
          <w:highlight w:val="none"/>
          <w:lang w:eastAsia="zh-CN"/>
        </w:rPr>
        <w:t>甲方有权解除本合同，乙方应承担</w:t>
      </w:r>
      <w:r>
        <w:rPr>
          <w:rFonts w:hint="eastAsia" w:ascii="仿宋" w:hAnsi="仿宋" w:eastAsia="仿宋" w:cs="仿宋"/>
          <w:color w:val="auto"/>
          <w:spacing w:val="4"/>
          <w:sz w:val="24"/>
          <w:highlight w:val="none"/>
        </w:rPr>
        <w:t>年供货量总额的</w:t>
      </w:r>
      <w:r>
        <w:rPr>
          <w:rFonts w:hint="eastAsia" w:ascii="仿宋" w:hAnsi="仿宋" w:eastAsia="仿宋" w:cs="仿宋"/>
          <w:color w:val="auto"/>
          <w:spacing w:val="4"/>
          <w:sz w:val="24"/>
          <w:highlight w:val="none"/>
          <w:lang w:eastAsia="zh-CN"/>
        </w:rPr>
        <w:t>百分之十的违约金。</w:t>
      </w: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五</w:t>
      </w:r>
      <w:r>
        <w:rPr>
          <w:rFonts w:hint="eastAsia" w:ascii="仿宋" w:hAnsi="仿宋" w:eastAsia="仿宋" w:cs="仿宋"/>
          <w:b/>
          <w:color w:val="auto"/>
          <w:spacing w:val="4"/>
          <w:sz w:val="28"/>
          <w:szCs w:val="28"/>
          <w:highlight w:val="none"/>
        </w:rPr>
        <w:t>、退货处理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六</w:t>
      </w:r>
      <w:r>
        <w:rPr>
          <w:rFonts w:hint="eastAsia" w:ascii="仿宋" w:hAnsi="仿宋" w:eastAsia="仿宋" w:cs="仿宋"/>
          <w:b/>
          <w:color w:val="auto"/>
          <w:spacing w:val="4"/>
          <w:sz w:val="28"/>
          <w:szCs w:val="28"/>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七</w:t>
      </w:r>
      <w:r>
        <w:rPr>
          <w:rFonts w:hint="eastAsia" w:ascii="仿宋" w:hAnsi="仿宋" w:eastAsia="仿宋" w:cs="仿宋"/>
          <w:b/>
          <w:color w:val="auto"/>
          <w:spacing w:val="4"/>
          <w:sz w:val="28"/>
          <w:szCs w:val="28"/>
          <w:highlight w:val="none"/>
        </w:rPr>
        <w:t>、不可抗力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八</w:t>
      </w:r>
      <w:r>
        <w:rPr>
          <w:rFonts w:hint="eastAsia" w:ascii="仿宋" w:hAnsi="仿宋" w:eastAsia="仿宋" w:cs="仿宋"/>
          <w:b/>
          <w:color w:val="auto"/>
          <w:spacing w:val="4"/>
          <w:sz w:val="28"/>
          <w:szCs w:val="28"/>
          <w:highlight w:val="none"/>
        </w:rPr>
        <w:t>、解决合同纠纷方式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九、协议的修改和补充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lang w:eastAsia="zh-CN"/>
        </w:rPr>
        <w:t>十</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肆</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叁</w:t>
      </w:r>
      <w:r>
        <w:rPr>
          <w:rFonts w:hint="eastAsia" w:ascii="仿宋" w:hAnsi="仿宋" w:eastAsia="仿宋" w:cs="仿宋"/>
          <w:spacing w:val="4"/>
          <w:sz w:val="24"/>
        </w:rPr>
        <w:t>份</w:t>
      </w:r>
      <w:r>
        <w:rPr>
          <w:rFonts w:hint="eastAsia" w:ascii="仿宋" w:hAnsi="仿宋" w:eastAsia="仿宋" w:cs="仿宋"/>
          <w:spacing w:val="4"/>
          <w:sz w:val="24"/>
          <w:lang w:eastAsia="zh-CN"/>
        </w:rPr>
        <w:t>，乙方执壹份同具有同等法律效力。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包含配送、售后、响应速度等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48896063"/>
      <w:bookmarkStart w:id="2" w:name="_Toc10762"/>
      <w:bookmarkStart w:id="3" w:name="_Toc258360269"/>
      <w:bookmarkStart w:id="4" w:name="_Toc258360158"/>
      <w:bookmarkStart w:id="5" w:name="_Toc337554724"/>
      <w:bookmarkStart w:id="6" w:name="_Toc9548"/>
      <w:bookmarkStart w:id="7" w:name="_Toc261708863"/>
      <w:bookmarkStart w:id="8" w:name="_Toc219626747"/>
      <w:bookmarkStart w:id="9" w:name="_Toc337475854"/>
      <w:bookmarkStart w:id="10" w:name="_Toc15313"/>
      <w:bookmarkStart w:id="11" w:name="_Toc17030"/>
      <w:bookmarkStart w:id="12" w:name="_Toc258354146"/>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89"/>
        <w:gridCol w:w="1601"/>
        <w:gridCol w:w="1283"/>
        <w:gridCol w:w="2650"/>
        <w:gridCol w:w="850"/>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257" w:type="dxa"/>
          <w:trHeight w:val="540" w:hRule="atLeast"/>
        </w:trPr>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1"/>
                <w:lang w:val="en-US" w:eastAsia="zh-CN" w:bidi="ar"/>
              </w:rPr>
              <w:t>（按照公告序号，不可修改）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1"/>
                <w:lang w:val="en-US" w:eastAsia="zh-CN" w:bidi="ar"/>
              </w:rPr>
              <w:t>（按照公告名称，不可修改）</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品牌或生产企业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合计总价：</w:t>
            </w: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ABF28A5"/>
    <w:rsid w:val="0B9D1095"/>
    <w:rsid w:val="0BD8254C"/>
    <w:rsid w:val="0CE95F36"/>
    <w:rsid w:val="0CFB4C25"/>
    <w:rsid w:val="0D456FB4"/>
    <w:rsid w:val="0D9E4273"/>
    <w:rsid w:val="0DF70796"/>
    <w:rsid w:val="0E5B26BC"/>
    <w:rsid w:val="0E9016D0"/>
    <w:rsid w:val="0E93621F"/>
    <w:rsid w:val="0F54445A"/>
    <w:rsid w:val="0F9D3544"/>
    <w:rsid w:val="111B0067"/>
    <w:rsid w:val="114C35D9"/>
    <w:rsid w:val="11953DFF"/>
    <w:rsid w:val="11C31BE9"/>
    <w:rsid w:val="12A11F66"/>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B4638AD"/>
    <w:rsid w:val="4B70660F"/>
    <w:rsid w:val="4B7C13C2"/>
    <w:rsid w:val="4B9C1C97"/>
    <w:rsid w:val="4BC500AA"/>
    <w:rsid w:val="4C1C5AD5"/>
    <w:rsid w:val="4D242965"/>
    <w:rsid w:val="4FCE5CD6"/>
    <w:rsid w:val="503F3FE4"/>
    <w:rsid w:val="50644509"/>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0921C13"/>
    <w:rsid w:val="615523A0"/>
    <w:rsid w:val="61A05A1B"/>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201765"/>
    <w:rsid w:val="70E04A7D"/>
    <w:rsid w:val="70F03E6A"/>
    <w:rsid w:val="71B367CA"/>
    <w:rsid w:val="72AF20B0"/>
    <w:rsid w:val="72CE76A2"/>
    <w:rsid w:val="73B95B82"/>
    <w:rsid w:val="73BA7E96"/>
    <w:rsid w:val="745F5922"/>
    <w:rsid w:val="75441CAA"/>
    <w:rsid w:val="759E02BD"/>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5021</Words>
  <Characters>5194</Characters>
  <Lines>55</Lines>
  <Paragraphs>15</Paragraphs>
  <TotalTime>0</TotalTime>
  <ScaleCrop>false</ScaleCrop>
  <LinksUpToDate>false</LinksUpToDate>
  <CharactersWithSpaces>5846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2023-09-11T02:36:00Z</cp:lastPrinted>
  <dcterms:modified xsi:type="dcterms:W3CDTF">2024-01-25T01:16:40Z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493DB46D37854FBB97BA6C655364FCA7</vt:lpwstr>
  </property>
</Properties>
</file>