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胸腔镜小切口器械采购项目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7"/>
      </w:pPr>
    </w:p>
    <w:p>
      <w:pPr>
        <w:pStyle w:val="17"/>
      </w:pPr>
    </w:p>
    <w:p>
      <w:pPr>
        <w:pStyle w:val="17"/>
      </w:pPr>
    </w:p>
    <w:p>
      <w:pPr>
        <w:jc w:val="center"/>
        <w:rPr>
          <w:rFonts w:ascii="黑体" w:hAnsi="黑体" w:eastAsia="黑体" w:cs="黑体"/>
          <w:sz w:val="52"/>
          <w:szCs w:val="52"/>
        </w:rPr>
      </w:pPr>
    </w:p>
    <w:p>
      <w:pPr>
        <w:pStyle w:val="17"/>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7"/>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12</w:t>
      </w:r>
      <w:r>
        <w:rPr>
          <w:rFonts w:hint="eastAsia" w:ascii="黑体" w:hAnsi="黑体" w:eastAsia="黑体" w:cs="黑体"/>
          <w:sz w:val="44"/>
          <w:szCs w:val="44"/>
        </w:rPr>
        <w:t>月</w:t>
      </w:r>
      <w:r>
        <w:rPr>
          <w:rFonts w:hint="eastAsia" w:ascii="黑体" w:hAnsi="黑体" w:eastAsia="黑体" w:cs="黑体"/>
          <w:sz w:val="44"/>
          <w:szCs w:val="44"/>
          <w:lang w:val="en-US" w:eastAsia="zh-CN"/>
        </w:rPr>
        <w:t>19</w:t>
      </w:r>
      <w:r>
        <w:rPr>
          <w:rFonts w:hint="eastAsia" w:ascii="黑体" w:hAnsi="黑体" w:eastAsia="黑体" w:cs="黑体"/>
          <w:sz w:val="44"/>
          <w:szCs w:val="44"/>
        </w:rPr>
        <w:t>日</w:t>
      </w:r>
    </w:p>
    <w:p>
      <w:pPr>
        <w:pStyle w:val="17"/>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胸腔镜小切口器械采购项目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胸腔镜小切口器械采购项目</w:t>
      </w:r>
      <w:r>
        <w:rPr>
          <w:rFonts w:hint="eastAsia" w:ascii="仿宋_GB2312" w:eastAsia="仿宋_GB2312"/>
          <w:sz w:val="32"/>
          <w:szCs w:val="32"/>
        </w:rPr>
        <w:t>。</w:t>
      </w:r>
      <w:bookmarkStart w:id="15" w:name="_GoBack"/>
      <w:bookmarkEnd w:id="15"/>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tbl>
      <w:tblPr>
        <w:tblStyle w:val="10"/>
        <w:tblW w:w="90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2592"/>
        <w:gridCol w:w="3844"/>
        <w:gridCol w:w="744"/>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08"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2592"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3844"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规格型号</w:t>
            </w:r>
          </w:p>
        </w:tc>
        <w:tc>
          <w:tcPr>
            <w:tcW w:w="744"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凹凸齿止血夹</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75，反力式，直</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凹凸齿止血夹</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70×12，反力式，圆弯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小切口手术缝合线拉钩（定制）</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380×Ф5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海绵钳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340×8，滑板式，弯有槽，小切口</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小切口组织钳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340×8，滑板式，匙形，淋巴</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海绵钳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340×10，滑板式，弯有齿，小切口</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海绵钳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340×8，滑板式，弯无齿，小切口</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海绵钳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340×5，滑板式，弯，有槽，小切口</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9</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血管钳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360×15，滑板式，圆弯，1×2齿</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血管钳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360×20，滑板式，圆弯，1×2齿</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血管钳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360×25，滑板式，圆弯，1×2齿</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12</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血管钳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360×25×90°，滑板式，弯，1×2齿</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血管钳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360×75×30，滑板式，圆弯，1×2齿</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小切口持针钳</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340，滑板式，弯，细针，镶片0.3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精细剪</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320×3，滑板式，弯，宽头</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16</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吸引管（定制）</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450×Ф6，弯形喇叭头，小切口</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w:t>
            </w:r>
          </w:p>
        </w:tc>
        <w:tc>
          <w:tcPr>
            <w:tcW w:w="25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器械钳</w:t>
            </w:r>
          </w:p>
        </w:tc>
        <w:tc>
          <w:tcPr>
            <w:tcW w:w="3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360，弯有槽</w:t>
            </w:r>
          </w:p>
        </w:tc>
        <w:tc>
          <w:tcPr>
            <w:tcW w:w="7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2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r>
    </w:tbl>
    <w:p>
      <w:pPr>
        <w:pStyle w:val="2"/>
      </w:pPr>
    </w:p>
    <w:p>
      <w:pPr>
        <w:keepNext w:val="0"/>
        <w:keepLines w:val="0"/>
        <w:pageBreakBefore w:val="0"/>
        <w:numPr>
          <w:ilvl w:val="0"/>
          <w:numId w:val="4"/>
        </w:numPr>
        <w:kinsoku/>
        <w:wordWrap/>
        <w:overflowPunct/>
        <w:topLinePunct w:val="0"/>
        <w:autoSpaceDE/>
        <w:autoSpaceDN/>
        <w:bidi w:val="0"/>
        <w:snapToGrid/>
        <w:spacing w:line="52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、供应商须在中华人民共和国境内依法登记注册，具有合法的经营资质；具备承担本项目的能力</w:t>
      </w:r>
      <w:r>
        <w:rPr>
          <w:rFonts w:hint="eastAsia" w:ascii="仿宋_GB2312" w:eastAsia="仿宋_GB2312"/>
          <w:sz w:val="32"/>
          <w:szCs w:val="32"/>
          <w:lang w:val="en-US" w:eastAsia="zh-CN"/>
        </w:rPr>
        <w:t>，具有医疗器械经营许可证</w:t>
      </w:r>
      <w:r>
        <w:rPr>
          <w:rFonts w:hint="eastAsia" w:ascii="仿宋_GB2312" w:eastAsia="仿宋_GB2312"/>
          <w:sz w:val="32"/>
          <w:szCs w:val="32"/>
        </w:rPr>
        <w:t>；</w:t>
      </w:r>
    </w:p>
    <w:p>
      <w:pPr>
        <w:pStyle w:val="9"/>
        <w:keepNext w:val="0"/>
        <w:keepLines w:val="0"/>
        <w:pageBreakBefore w:val="0"/>
        <w:widowControl/>
        <w:kinsoku/>
        <w:wordWrap/>
        <w:overflowPunct/>
        <w:topLinePunct w:val="0"/>
        <w:autoSpaceDE/>
        <w:autoSpaceDN/>
        <w:bidi w:val="0"/>
        <w:adjustRightInd w:val="0"/>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52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520" w:lineRule="exact"/>
        <w:ind w:left="630"/>
        <w:textAlignment w:val="auto"/>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w:t>
      </w:r>
      <w:r>
        <w:rPr>
          <w:rFonts w:hint="eastAsia" w:ascii="仿宋_GB2312" w:eastAsia="仿宋_GB2312"/>
          <w:color w:val="FF0000"/>
          <w:sz w:val="32"/>
          <w:szCs w:val="32"/>
          <w:lang w:eastAsia="zh-CN"/>
        </w:rPr>
        <w:t>营业执照</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w:t>
      </w:r>
      <w:r>
        <w:rPr>
          <w:rFonts w:hint="eastAsia" w:ascii="仿宋_GB2312" w:eastAsia="仿宋_GB2312"/>
          <w:color w:val="FF0000"/>
          <w:sz w:val="32"/>
          <w:szCs w:val="32"/>
          <w:lang w:eastAsia="zh-CN"/>
        </w:rPr>
        <w:t>医疗器械经营许可证，</w:t>
      </w:r>
      <w:r>
        <w:rPr>
          <w:rFonts w:hint="eastAsia" w:ascii="仿宋_GB2312" w:eastAsia="仿宋_GB2312"/>
          <w:color w:val="FF0000"/>
          <w:sz w:val="32"/>
          <w:szCs w:val="32"/>
        </w:rPr>
        <w:t>授权委托书以及被授权人身份证</w:t>
      </w:r>
      <w:r>
        <w:rPr>
          <w:rFonts w:hint="eastAsia" w:ascii="仿宋_GB2312" w:eastAsia="仿宋_GB2312" w:cs="Times New Roman"/>
          <w:color w:val="FF0000"/>
          <w:sz w:val="32"/>
          <w:szCs w:val="32"/>
        </w:rPr>
        <w:t>。</w:t>
      </w:r>
    </w:p>
    <w:p>
      <w:pPr>
        <w:pStyle w:val="17"/>
        <w:keepNext w:val="0"/>
        <w:keepLines w:val="0"/>
        <w:pageBreakBefore w:val="0"/>
        <w:kinsoku/>
        <w:wordWrap/>
        <w:overflowPunct/>
        <w:topLinePunct w:val="0"/>
        <w:autoSpaceDE/>
        <w:autoSpaceDN/>
        <w:bidi w:val="0"/>
        <w:snapToGrid/>
        <w:spacing w:line="52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52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7"/>
      </w:pPr>
    </w:p>
    <w:p>
      <w:pPr>
        <w:pStyle w:val="17"/>
      </w:pPr>
    </w:p>
    <w:p>
      <w:pPr>
        <w:pStyle w:val="17"/>
      </w:pPr>
    </w:p>
    <w:p>
      <w:pPr>
        <w:pStyle w:val="17"/>
      </w:pPr>
    </w:p>
    <w:p>
      <w:pPr>
        <w:pStyle w:val="17"/>
      </w:pPr>
    </w:p>
    <w:p>
      <w:pPr>
        <w:pStyle w:val="17"/>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eastAsia="等线"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ascii="宋体" w:hAnsi="宋体" w:eastAsia="宋体" w:cs="宋体"/>
                <w:color w:val="000000" w:themeColor="text1"/>
                <w:sz w:val="21"/>
                <w:szCs w:val="21"/>
                <w14:textFill>
                  <w14:solidFill>
                    <w14:schemeClr w14:val="tx1"/>
                  </w14:solidFill>
                </w14:textFill>
              </w:rPr>
              <w:t>1</w:t>
            </w:r>
            <w:r>
              <w:rPr>
                <w:rFonts w:hint="eastAsia"/>
                <w:lang w:val="en-US" w:eastAsia="zh-CN"/>
              </w:rPr>
              <w:t>根据供应商的响应速度在0-3分范围内进行打分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18"/>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lang w:val="en-US" w:eastAsia="zh-CN"/>
              </w:rPr>
              <w:t>3.根据质保年限在0-4分范围内打分</w:t>
            </w:r>
          </w:p>
        </w:tc>
      </w:tr>
    </w:tbl>
    <w:p>
      <w:pPr>
        <w:pStyle w:val="17"/>
        <w:rPr>
          <w:rFonts w:ascii="黑体" w:hAnsi="黑体" w:eastAsia="黑体" w:cs="黑体"/>
          <w:sz w:val="32"/>
          <w:szCs w:val="32"/>
        </w:rPr>
      </w:pPr>
    </w:p>
    <w:p>
      <w:pPr>
        <w:numPr>
          <w:ilvl w:val="0"/>
          <w:numId w:val="3"/>
        </w:numPr>
        <w:jc w:val="center"/>
        <w:rPr>
          <w:rFonts w:ascii="宋体" w:hAnsi="宋体"/>
          <w:sz w:val="24"/>
        </w:rPr>
      </w:pPr>
      <w:r>
        <w:rPr>
          <w:rFonts w:hint="eastAsia" w:ascii="黑体" w:hAnsi="黑体" w:eastAsia="黑体" w:cs="黑体"/>
          <w:sz w:val="32"/>
          <w:szCs w:val="32"/>
        </w:rPr>
        <w:t>合同条</w:t>
      </w:r>
      <w:r>
        <w:rPr>
          <w:rFonts w:hint="eastAsia" w:ascii="黑体" w:hAnsi="黑体" w:eastAsia="黑体" w:cs="黑体"/>
          <w:sz w:val="32"/>
          <w:szCs w:val="32"/>
          <w:lang w:eastAsia="zh-CN"/>
        </w:rPr>
        <w:t>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pStyle w:val="17"/>
        <w:rPr>
          <w:rFonts w:ascii="黑体" w:hAnsi="黑体" w:eastAsia="黑体" w:cs="黑体"/>
          <w:sz w:val="32"/>
          <w:szCs w:val="32"/>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571" w:type="dxa"/>
            <w:vAlign w:val="center"/>
          </w:tcPr>
          <w:p>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承诺书</w:t>
            </w:r>
          </w:p>
        </w:tc>
        <w:tc>
          <w:tcPr>
            <w:tcW w:w="5587" w:type="dxa"/>
            <w:vAlign w:val="center"/>
          </w:tcPr>
          <w:p>
            <w:pPr>
              <w:jc w:val="left"/>
              <w:rPr>
                <w:rFonts w:hint="eastAsia" w:ascii="仿宋" w:hAnsi="仿宋" w:eastAsia="仿宋" w:cs="宋体"/>
                <w:b/>
                <w:bCs/>
                <w:color w:val="C00000"/>
                <w:kern w:val="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320878640"/>
      <w:bookmarkStart w:id="2" w:name="_Toc248896063"/>
      <w:bookmarkStart w:id="3" w:name="_Toc337475854"/>
      <w:bookmarkStart w:id="4" w:name="_Toc10762"/>
      <w:bookmarkStart w:id="5" w:name="_Toc15313"/>
      <w:bookmarkStart w:id="6" w:name="_Toc258360269"/>
      <w:bookmarkStart w:id="7" w:name="_Toc17030"/>
      <w:bookmarkStart w:id="8" w:name="_Toc9548"/>
      <w:bookmarkStart w:id="9" w:name="_Toc261708863"/>
      <w:bookmarkStart w:id="10" w:name="_Toc219626747"/>
      <w:bookmarkStart w:id="11" w:name="_Toc258333636"/>
      <w:bookmarkStart w:id="12" w:name="_Toc337554724"/>
      <w:bookmarkStart w:id="13" w:name="_Toc25835414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7"/>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7"/>
        <w:rPr>
          <w:rFonts w:ascii="黑体" w:eastAsia="黑体"/>
          <w:color w:val="000000"/>
          <w:sz w:val="32"/>
          <w:szCs w:val="32"/>
        </w:rPr>
      </w:pPr>
    </w:p>
    <w:p>
      <w:pPr>
        <w:pStyle w:val="17"/>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p>
      <w:pPr>
        <w:pStyle w:val="16"/>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8428E9"/>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08769F"/>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5245444"/>
    <w:rsid w:val="16A35C46"/>
    <w:rsid w:val="170D04F7"/>
    <w:rsid w:val="17D81E85"/>
    <w:rsid w:val="186D0D29"/>
    <w:rsid w:val="188744A6"/>
    <w:rsid w:val="1965314B"/>
    <w:rsid w:val="1A0C71E7"/>
    <w:rsid w:val="1A257B62"/>
    <w:rsid w:val="1AC217DA"/>
    <w:rsid w:val="1B304823"/>
    <w:rsid w:val="1BCA7DF5"/>
    <w:rsid w:val="1C454471"/>
    <w:rsid w:val="1C900C49"/>
    <w:rsid w:val="1D5D013B"/>
    <w:rsid w:val="1D995826"/>
    <w:rsid w:val="1E4C6245"/>
    <w:rsid w:val="1F1D4095"/>
    <w:rsid w:val="1FAD5926"/>
    <w:rsid w:val="1FEA698F"/>
    <w:rsid w:val="2119361E"/>
    <w:rsid w:val="22023BDE"/>
    <w:rsid w:val="22401398"/>
    <w:rsid w:val="241430A6"/>
    <w:rsid w:val="245F44FD"/>
    <w:rsid w:val="246624B2"/>
    <w:rsid w:val="24DF7354"/>
    <w:rsid w:val="24FE3AD7"/>
    <w:rsid w:val="25E13CF1"/>
    <w:rsid w:val="2643733F"/>
    <w:rsid w:val="264A511E"/>
    <w:rsid w:val="26827E4C"/>
    <w:rsid w:val="278100C0"/>
    <w:rsid w:val="27AF30E6"/>
    <w:rsid w:val="281A4847"/>
    <w:rsid w:val="288B4898"/>
    <w:rsid w:val="28AE7436"/>
    <w:rsid w:val="2A7E0BB7"/>
    <w:rsid w:val="2A826BC7"/>
    <w:rsid w:val="2B0A7B44"/>
    <w:rsid w:val="2CC10CAE"/>
    <w:rsid w:val="2E5513F2"/>
    <w:rsid w:val="2ED21247"/>
    <w:rsid w:val="2F632DBF"/>
    <w:rsid w:val="30217C48"/>
    <w:rsid w:val="311B0235"/>
    <w:rsid w:val="31384F13"/>
    <w:rsid w:val="31827FC3"/>
    <w:rsid w:val="32367AE2"/>
    <w:rsid w:val="33F956F6"/>
    <w:rsid w:val="346E41EA"/>
    <w:rsid w:val="35235DD9"/>
    <w:rsid w:val="355D343E"/>
    <w:rsid w:val="35803DCD"/>
    <w:rsid w:val="358D0D69"/>
    <w:rsid w:val="359022EB"/>
    <w:rsid w:val="384A7AD5"/>
    <w:rsid w:val="386B7C82"/>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3C02D5"/>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165674"/>
    <w:rsid w:val="5B736C6D"/>
    <w:rsid w:val="5C0A0EA5"/>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8C53495"/>
    <w:rsid w:val="695C7637"/>
    <w:rsid w:val="6A3805EE"/>
    <w:rsid w:val="6A67750E"/>
    <w:rsid w:val="6BDA23AB"/>
    <w:rsid w:val="6C5656ED"/>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2193A"/>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无间隔1"/>
    <w:basedOn w:val="1"/>
    <w:qFormat/>
    <w:uiPriority w:val="1"/>
    <w:pPr>
      <w:spacing w:line="400" w:lineRule="exact"/>
    </w:pPr>
    <w:rPr>
      <w:rFonts w:eastAsia="宋体"/>
      <w:sz w:val="24"/>
    </w:rPr>
  </w:style>
  <w:style w:type="paragraph" w:customStyle="1" w:styleId="18">
    <w:name w:val="Normal_3"/>
    <w:qFormat/>
    <w:uiPriority w:val="0"/>
    <w:rPr>
      <w:rFonts w:ascii="Times New Roman" w:hAnsi="Times New Roman" w:eastAsia="Times New Roman" w:cs="Times New Roman"/>
      <w:sz w:val="24"/>
      <w:szCs w:val="24"/>
      <w:lang w:val="en-US" w:eastAsia="zh-CN" w:bidi="ar-SA"/>
    </w:rPr>
  </w:style>
  <w:style w:type="character" w:customStyle="1" w:styleId="19">
    <w:name w:val="页脚 Char"/>
    <w:basedOn w:val="12"/>
    <w:link w:val="7"/>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hover15"/>
    <w:basedOn w:val="12"/>
    <w:qFormat/>
    <w:uiPriority w:val="0"/>
  </w:style>
  <w:style w:type="paragraph" w:customStyle="1" w:styleId="22">
    <w:name w:val="无间隔11"/>
    <w:basedOn w:val="1"/>
    <w:qFormat/>
    <w:uiPriority w:val="1"/>
    <w:pPr>
      <w:spacing w:line="400" w:lineRule="exact"/>
    </w:pPr>
    <w:rPr>
      <w:rFonts w:ascii="Calibri" w:hAnsi="Calibri"/>
      <w:sz w:val="24"/>
      <w:szCs w:val="22"/>
    </w:rPr>
  </w:style>
  <w:style w:type="character" w:customStyle="1" w:styleId="23">
    <w:name w:val="font21"/>
    <w:basedOn w:val="12"/>
    <w:qFormat/>
    <w:uiPriority w:val="0"/>
    <w:rPr>
      <w:rFonts w:hint="eastAsia" w:ascii="宋体" w:hAnsi="宋体" w:eastAsia="宋体" w:cs="宋体"/>
      <w:color w:val="FF0000"/>
      <w:sz w:val="24"/>
      <w:szCs w:val="24"/>
      <w:u w:val="none"/>
    </w:rPr>
  </w:style>
  <w:style w:type="character" w:customStyle="1" w:styleId="24">
    <w:name w:val="font11"/>
    <w:basedOn w:val="12"/>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3768</Words>
  <Characters>3919</Characters>
  <Lines>65</Lines>
  <Paragraphs>18</Paragraphs>
  <TotalTime>154</TotalTime>
  <ScaleCrop>false</ScaleCrop>
  <LinksUpToDate>false</LinksUpToDate>
  <CharactersWithSpaces>4484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2023-07-20T02:14:00Z</cp:lastPrinted>
  <dcterms:modified xsi:type="dcterms:W3CDTF">2023-12-22T03:26:12Z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B3A23A5038F542AE8E11C7DA0289E783_13</vt:lpwstr>
  </property>
</Properties>
</file>