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传染病区综合楼水土保持方案编制、过程检测及验收备案服务采购项目</w:t>
      </w:r>
    </w:p>
    <w:p>
      <w:pPr>
        <w:jc w:val="center"/>
        <w:rPr>
          <w:rFonts w:ascii="黑体" w:hAnsi="黑体" w:eastAsia="黑体" w:cs="黑体"/>
          <w:sz w:val="52"/>
          <w:szCs w:val="52"/>
        </w:rPr>
      </w:pPr>
      <w:r>
        <w:rPr>
          <w:rFonts w:hint="eastAsia" w:ascii="黑体" w:hAnsi="黑体" w:eastAsia="黑体" w:cs="黑体"/>
          <w:sz w:val="52"/>
          <w:szCs w:val="52"/>
        </w:rPr>
        <w:t>磋商文件</w:t>
      </w:r>
    </w:p>
    <w:p>
      <w:pPr>
        <w:jc w:val="center"/>
        <w:rPr>
          <w:rFonts w:ascii="黑体" w:hAnsi="黑体" w:eastAsia="黑体" w:cs="黑体"/>
          <w:sz w:val="52"/>
          <w:szCs w:val="52"/>
        </w:rPr>
      </w:pPr>
    </w:p>
    <w:p>
      <w:pPr>
        <w:rPr>
          <w:rFonts w:ascii="黑体" w:hAnsi="黑体" w:eastAsia="黑体" w:cs="黑体"/>
          <w:sz w:val="52"/>
          <w:szCs w:val="52"/>
        </w:rPr>
      </w:pPr>
    </w:p>
    <w:p>
      <w:pPr>
        <w:pStyle w:val="19"/>
      </w:pPr>
    </w:p>
    <w:p>
      <w:pPr>
        <w:pStyle w:val="19"/>
      </w:pPr>
    </w:p>
    <w:p>
      <w:pPr>
        <w:pStyle w:val="19"/>
      </w:pPr>
    </w:p>
    <w:p>
      <w:pPr>
        <w:pStyle w:val="19"/>
      </w:pPr>
    </w:p>
    <w:p>
      <w:pPr>
        <w:jc w:val="center"/>
        <w:rPr>
          <w:rFonts w:ascii="黑体" w:hAnsi="黑体" w:eastAsia="黑体" w:cs="黑体"/>
          <w:sz w:val="52"/>
          <w:szCs w:val="52"/>
        </w:rPr>
      </w:pPr>
    </w:p>
    <w:p>
      <w:pPr>
        <w:pStyle w:val="19"/>
        <w:rPr>
          <w:rFonts w:ascii="黑体" w:hAnsi="黑体" w:eastAsia="黑体" w:cs="黑体"/>
          <w:sz w:val="52"/>
          <w:szCs w:val="52"/>
        </w:rPr>
      </w:pPr>
    </w:p>
    <w:p>
      <w:pPr>
        <w:rPr>
          <w:rFonts w:ascii="黑体" w:hAnsi="黑体" w:eastAsia="黑体" w:cs="黑体"/>
          <w:sz w:val="52"/>
          <w:szCs w:val="52"/>
        </w:rPr>
      </w:pPr>
    </w:p>
    <w:p>
      <w:pPr>
        <w:jc w:val="center"/>
        <w:rPr>
          <w:rFonts w:ascii="黑体" w:hAnsi="黑体" w:eastAsia="黑体" w:cs="黑体"/>
          <w:sz w:val="52"/>
          <w:szCs w:val="52"/>
        </w:rPr>
      </w:pPr>
    </w:p>
    <w:p>
      <w:pPr>
        <w:pStyle w:val="19"/>
      </w:pPr>
    </w:p>
    <w:p>
      <w:pPr>
        <w:ind w:firstLine="1320" w:firstLineChars="3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1320" w:firstLineChars="300"/>
        <w:rPr>
          <w:rFonts w:ascii="黑体" w:hAnsi="黑体" w:eastAsia="黑体" w:cs="黑体"/>
          <w:sz w:val="44"/>
          <w:szCs w:val="44"/>
        </w:rPr>
      </w:pPr>
      <w:r>
        <w:rPr>
          <w:rFonts w:hint="eastAsia" w:ascii="黑体" w:hAnsi="黑体" w:eastAsia="黑体" w:cs="黑体"/>
          <w:sz w:val="44"/>
          <w:szCs w:val="44"/>
        </w:rPr>
        <w:t>时  间：2023年</w:t>
      </w:r>
      <w:r>
        <w:rPr>
          <w:rFonts w:hint="eastAsia" w:ascii="黑体" w:hAnsi="黑体" w:eastAsia="黑体" w:cs="黑体"/>
          <w:sz w:val="44"/>
          <w:szCs w:val="44"/>
          <w:lang w:val="en-US" w:eastAsia="zh-CN"/>
        </w:rPr>
        <w:t>10</w:t>
      </w:r>
      <w:r>
        <w:rPr>
          <w:rFonts w:hint="eastAsia" w:ascii="黑体" w:hAnsi="黑体" w:eastAsia="黑体" w:cs="黑体"/>
          <w:sz w:val="44"/>
          <w:szCs w:val="44"/>
        </w:rPr>
        <w:t>月</w:t>
      </w:r>
      <w:r>
        <w:rPr>
          <w:rFonts w:hint="eastAsia" w:ascii="黑体" w:hAnsi="黑体" w:eastAsia="黑体" w:cs="黑体"/>
          <w:sz w:val="44"/>
          <w:szCs w:val="44"/>
          <w:lang w:val="en-US" w:eastAsia="zh-CN"/>
        </w:rPr>
        <w:t>27</w:t>
      </w:r>
      <w:r>
        <w:rPr>
          <w:rFonts w:hint="eastAsia" w:ascii="黑体" w:hAnsi="黑体" w:eastAsia="黑体" w:cs="黑体"/>
          <w:sz w:val="44"/>
          <w:szCs w:val="44"/>
        </w:rPr>
        <w:t>日</w:t>
      </w:r>
    </w:p>
    <w:p>
      <w:pPr>
        <w:pStyle w:val="19"/>
      </w:pPr>
    </w:p>
    <w:p>
      <w:pPr>
        <w:pStyle w:val="19"/>
        <w:rPr>
          <w:rFonts w:hint="eastAsia" w:ascii="黑体" w:hAnsi="黑体" w:eastAsia="黑体" w:cs="黑体"/>
          <w:sz w:val="32"/>
          <w:szCs w:val="32"/>
          <w:lang w:eastAsia="zh-CN"/>
        </w:rPr>
      </w:pPr>
      <w:r>
        <w:rPr>
          <w:rFonts w:hint="eastAsia" w:ascii="黑体" w:hAnsi="黑体" w:eastAsia="黑体" w:cs="黑体"/>
          <w:sz w:val="32"/>
          <w:szCs w:val="32"/>
          <w:lang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磋商公告 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9"/>
      </w:pPr>
    </w:p>
    <w:p>
      <w:pPr>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磋商公告</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rPr>
        <w:t>本项目为新郑市公立人民医院</w:t>
      </w:r>
      <w:r>
        <w:rPr>
          <w:rFonts w:hint="eastAsia" w:ascii="仿宋_GB2312" w:eastAsia="仿宋_GB2312"/>
          <w:sz w:val="32"/>
          <w:szCs w:val="32"/>
          <w:lang w:eastAsia="zh-CN"/>
        </w:rPr>
        <w:t>传染病区综合楼水土保持方案编制、过程检测及验收备案服务采购项目</w:t>
      </w:r>
      <w:r>
        <w:rPr>
          <w:rFonts w:hint="eastAsia" w:ascii="仿宋_GB2312" w:eastAsia="仿宋_GB2312"/>
          <w:sz w:val="32"/>
          <w:szCs w:val="32"/>
        </w:rPr>
        <w:t>，具体事宜公布如下：</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传染病区综合楼水土保持方案编制、过程检测及验收备案服务采购项目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项目概况</w:t>
      </w:r>
    </w:p>
    <w:p>
      <w:pPr>
        <w:pStyle w:val="19"/>
        <w:keepNext w:val="0"/>
        <w:keepLines w:val="0"/>
        <w:pageBreakBefore w:val="0"/>
        <w:kinsoku/>
        <w:wordWrap/>
        <w:overflowPunct/>
        <w:topLinePunct w:val="0"/>
        <w:autoSpaceDE/>
        <w:autoSpaceDN/>
        <w:bidi w:val="0"/>
        <w:snapToGrid/>
        <w:spacing w:line="460" w:lineRule="exact"/>
        <w:ind w:firstLine="640" w:firstLineChars="200"/>
        <w:textAlignment w:val="auto"/>
        <w:rPr>
          <w:rFonts w:hint="eastAsia" w:ascii="仿宋_GB2312" w:eastAsia="仿宋_GB2312" w:cstheme="minorBidi"/>
          <w:kern w:val="2"/>
          <w:sz w:val="32"/>
          <w:szCs w:val="32"/>
          <w:lang w:val="en-US" w:eastAsia="zh-CN" w:bidi="ar-SA"/>
        </w:rPr>
      </w:pPr>
      <w:r>
        <w:rPr>
          <w:rFonts w:hint="eastAsia" w:ascii="黑体" w:eastAsia="黑体"/>
          <w:sz w:val="32"/>
          <w:szCs w:val="32"/>
          <w:lang w:val="en-US" w:eastAsia="zh-CN"/>
        </w:rPr>
        <w:t xml:space="preserve"> </w:t>
      </w:r>
      <w:r>
        <w:rPr>
          <w:rFonts w:hint="eastAsia" w:ascii="黑体" w:eastAsia="黑体"/>
          <w:sz w:val="32"/>
          <w:szCs w:val="32"/>
          <w:lang w:eastAsia="zh-CN"/>
        </w:rPr>
        <w:t>项目概况：</w:t>
      </w:r>
      <w:r>
        <w:rPr>
          <w:rFonts w:hint="eastAsia" w:ascii="仿宋_GB2312" w:eastAsia="仿宋_GB2312" w:cstheme="minorBidi"/>
          <w:kern w:val="2"/>
          <w:sz w:val="32"/>
          <w:szCs w:val="32"/>
          <w:lang w:val="en-US" w:eastAsia="zh-CN" w:bidi="ar-SA"/>
        </w:rPr>
        <w:t>新郑市公立人民医院传染病区综合楼建设项目水土保持方案编制、过程监测及验收备案（包括但不限于本项目水土保持相关业务的协调、联络等全部工作）。该项目建筑面积约14523.85m2，占地面积为26645.37m2，地上六层、地下一层。</w:t>
      </w:r>
    </w:p>
    <w:p>
      <w:pPr>
        <w:pStyle w:val="19"/>
        <w:keepNext w:val="0"/>
        <w:keepLines w:val="0"/>
        <w:pageBreakBefore w:val="0"/>
        <w:kinsoku/>
        <w:wordWrap/>
        <w:overflowPunct/>
        <w:topLinePunct w:val="0"/>
        <w:autoSpaceDE/>
        <w:autoSpaceDN/>
        <w:bidi w:val="0"/>
        <w:snapToGrid/>
        <w:spacing w:line="460" w:lineRule="exact"/>
        <w:ind w:firstLine="640" w:firstLineChars="200"/>
        <w:textAlignment w:val="auto"/>
        <w:rPr>
          <w:rFonts w:hint="eastAsia" w:ascii="仿宋_GB2312" w:eastAsia="仿宋_GB2312" w:cstheme="minorBidi"/>
          <w:kern w:val="2"/>
          <w:sz w:val="32"/>
          <w:szCs w:val="32"/>
          <w:lang w:val="en-US" w:eastAsia="zh-CN" w:bidi="ar-SA"/>
        </w:rPr>
      </w:pPr>
      <w:r>
        <w:rPr>
          <w:rFonts w:hint="eastAsia" w:ascii="黑体" w:eastAsia="黑体"/>
          <w:sz w:val="32"/>
          <w:szCs w:val="32"/>
          <w:lang w:val="en-US" w:eastAsia="zh-CN"/>
        </w:rPr>
        <w:t>服务要求</w:t>
      </w:r>
      <w:r>
        <w:rPr>
          <w:rFonts w:hint="eastAsia" w:ascii="仿宋_GB2312" w:eastAsia="仿宋_GB2312" w:cstheme="minorBidi"/>
          <w:kern w:val="2"/>
          <w:sz w:val="32"/>
          <w:szCs w:val="32"/>
          <w:lang w:val="en-US" w:eastAsia="zh-CN" w:bidi="ar-SA"/>
        </w:rPr>
        <w:t xml:space="preserve">：   </w:t>
      </w:r>
    </w:p>
    <w:p>
      <w:pPr>
        <w:pStyle w:val="19"/>
        <w:keepNext w:val="0"/>
        <w:keepLines w:val="0"/>
        <w:pageBreakBefore w:val="0"/>
        <w:kinsoku/>
        <w:wordWrap/>
        <w:overflowPunct/>
        <w:topLinePunct w:val="0"/>
        <w:autoSpaceDE/>
        <w:autoSpaceDN/>
        <w:bidi w:val="0"/>
        <w:snapToGrid/>
        <w:spacing w:line="460" w:lineRule="exact"/>
        <w:ind w:firstLine="640" w:firstLineChars="200"/>
        <w:textAlignment w:val="auto"/>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1.需按采购人要求完成该项目水土保持方案报告书的编制、修改及上报上会取得相关行政主管部门批复；</w:t>
      </w:r>
    </w:p>
    <w:p>
      <w:pPr>
        <w:pStyle w:val="19"/>
        <w:keepNext w:val="0"/>
        <w:keepLines w:val="0"/>
        <w:pageBreakBefore w:val="0"/>
        <w:kinsoku/>
        <w:wordWrap/>
        <w:overflowPunct/>
        <w:topLinePunct w:val="0"/>
        <w:autoSpaceDE/>
        <w:autoSpaceDN/>
        <w:bidi w:val="0"/>
        <w:snapToGrid/>
        <w:spacing w:line="460" w:lineRule="exact"/>
        <w:ind w:firstLine="640" w:firstLineChars="200"/>
        <w:textAlignment w:val="auto"/>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 xml:space="preserve"> 2.在水土保持方案批复后，及时补充开展该项目水土保持监测工作，向相关部门提交水土保持监测实施方案、季报等，并于工程全部完工后及时提交水土保持监测总结报告，作为项目水土保持设施自主验收的基础资料；</w:t>
      </w:r>
    </w:p>
    <w:p>
      <w:pPr>
        <w:pStyle w:val="19"/>
        <w:keepNext w:val="0"/>
        <w:keepLines w:val="0"/>
        <w:pageBreakBefore w:val="0"/>
        <w:kinsoku/>
        <w:wordWrap/>
        <w:overflowPunct/>
        <w:topLinePunct w:val="0"/>
        <w:autoSpaceDE/>
        <w:autoSpaceDN/>
        <w:bidi w:val="0"/>
        <w:snapToGrid/>
        <w:spacing w:line="460" w:lineRule="exact"/>
        <w:ind w:firstLine="640" w:firstLineChars="200"/>
        <w:textAlignment w:val="auto"/>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3.待工程全部完工后及时编制完成水土保持设施验收报告，按照届时水土保持验收程序要求完成水土保持设施自主验收会议召开及资料的公示和报备工作。</w:t>
      </w:r>
    </w:p>
    <w:p>
      <w:pPr>
        <w:pStyle w:val="19"/>
        <w:keepNext w:val="0"/>
        <w:keepLines w:val="0"/>
        <w:pageBreakBefore w:val="0"/>
        <w:kinsoku/>
        <w:wordWrap/>
        <w:overflowPunct/>
        <w:topLinePunct w:val="0"/>
        <w:autoSpaceDE/>
        <w:autoSpaceDN/>
        <w:bidi w:val="0"/>
        <w:snapToGrid/>
        <w:spacing w:line="460" w:lineRule="exact"/>
        <w:ind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4.在服务全过程中应承担一切与本项目水土保持相关的外协工作，并保证项目施工不受水土保持工作的影响。</w:t>
      </w:r>
    </w:p>
    <w:p>
      <w:pPr>
        <w:keepNext w:val="0"/>
        <w:keepLines w:val="0"/>
        <w:pageBreakBefore w:val="0"/>
        <w:numPr>
          <w:ilvl w:val="0"/>
          <w:numId w:val="4"/>
        </w:numPr>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供应商资格要求</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hint="default" w:eastAsia="仿宋_GB2312"/>
          <w:lang w:val="en-US" w:eastAsia="zh-CN"/>
        </w:rPr>
      </w:pPr>
      <w:r>
        <w:rPr>
          <w:rFonts w:hint="eastAsia" w:ascii="仿宋_GB2312" w:eastAsia="仿宋_GB2312"/>
          <w:sz w:val="32"/>
          <w:szCs w:val="32"/>
        </w:rPr>
        <w:t>2、供应商须在中华人民共和国境内依法登记注册，具有合法的经营资质</w:t>
      </w:r>
      <w:r>
        <w:rPr>
          <w:rFonts w:hint="eastAsia" w:ascii="仿宋_GB2312" w:eastAsia="仿宋_GB2312"/>
          <w:sz w:val="32"/>
          <w:szCs w:val="32"/>
          <w:lang w:eastAsia="zh-CN"/>
        </w:rPr>
        <w:t>；</w:t>
      </w:r>
      <w:r>
        <w:rPr>
          <w:rFonts w:hint="eastAsia" w:ascii="仿宋_GB2312" w:eastAsia="仿宋_GB2312"/>
          <w:sz w:val="32"/>
          <w:szCs w:val="32"/>
        </w:rPr>
        <w:t>具有良好的商业信誉和健全的财务会计制度；具备承担本项目的能力</w:t>
      </w:r>
      <w:r>
        <w:rPr>
          <w:rFonts w:hint="eastAsia" w:ascii="仿宋_GB2312" w:eastAsia="仿宋_GB2312"/>
          <w:sz w:val="32"/>
          <w:szCs w:val="32"/>
          <w:lang w:eastAsia="zh-CN"/>
        </w:rPr>
        <w:t>；</w:t>
      </w:r>
    </w:p>
    <w:p>
      <w:pPr>
        <w:pStyle w:val="10"/>
        <w:keepNext w:val="0"/>
        <w:keepLines w:val="0"/>
        <w:pageBreakBefore w:val="0"/>
        <w:widowControl/>
        <w:kinsoku/>
        <w:wordWrap/>
        <w:overflowPunct/>
        <w:topLinePunct w:val="0"/>
        <w:autoSpaceDE/>
        <w:autoSpaceDN/>
        <w:bidi w:val="0"/>
        <w:adjustRightInd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r>
        <w:rPr>
          <w:rFonts w:hint="eastAsia" w:ascii="仿宋_GB2312" w:eastAsia="仿宋_GB2312"/>
          <w:sz w:val="32"/>
          <w:szCs w:val="32"/>
          <w:lang w:eastAsia="zh-CN"/>
        </w:rPr>
        <w:t>，并依法缴纳税收和社会保障金；</w:t>
      </w:r>
    </w:p>
    <w:p>
      <w:pPr>
        <w:pStyle w:val="2"/>
        <w:rPr>
          <w:rFonts w:hint="default"/>
          <w:lang w:val="en-US" w:eastAsia="zh-CN"/>
        </w:rPr>
      </w:pPr>
      <w:r>
        <w:rPr>
          <w:rFonts w:hint="eastAsia" w:ascii="仿宋_GB2312" w:eastAsia="仿宋_GB2312"/>
          <w:sz w:val="32"/>
          <w:szCs w:val="32"/>
          <w:lang w:val="en-US" w:eastAsia="zh-CN"/>
        </w:rPr>
        <w:t xml:space="preserve">    5、本项目不接受联合体投标，不允许分包和转包；</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2023年</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30</w:t>
      </w:r>
      <w:r>
        <w:rPr>
          <w:rFonts w:hint="eastAsia" w:ascii="仿宋_GB2312" w:eastAsia="仿宋_GB2312"/>
          <w:color w:val="C00000"/>
          <w:sz w:val="32"/>
          <w:szCs w:val="32"/>
        </w:rPr>
        <w:t>日至2023年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3</w:t>
      </w:r>
      <w:bookmarkStart w:id="15" w:name="_GoBack"/>
      <w:bookmarkEnd w:id="15"/>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【工作日8:00-12:00,14:30-17:00（北京时间）】</w:t>
      </w:r>
    </w:p>
    <w:p>
      <w:pPr>
        <w:keepNext w:val="0"/>
        <w:keepLines w:val="0"/>
        <w:pageBreakBefore w:val="0"/>
        <w:numPr>
          <w:ilvl w:val="0"/>
          <w:numId w:val="5"/>
        </w:numPr>
        <w:kinsoku/>
        <w:wordWrap/>
        <w:overflowPunct/>
        <w:topLinePunct w:val="0"/>
        <w:autoSpaceDE/>
        <w:autoSpaceDN/>
        <w:bidi w:val="0"/>
        <w:snapToGrid/>
        <w:spacing w:line="460" w:lineRule="exact"/>
        <w:ind w:firstLine="640"/>
        <w:textAlignment w:val="auto"/>
        <w:rPr>
          <w:rFonts w:ascii="仿宋_GB2312" w:eastAsia="仿宋_GB2312"/>
          <w:sz w:val="32"/>
          <w:szCs w:val="32"/>
        </w:rPr>
      </w:pPr>
      <w:r>
        <w:rPr>
          <w:rFonts w:hint="eastAsia" w:ascii="仿宋_GB2312" w:eastAsia="仿宋_GB2312"/>
          <w:sz w:val="32"/>
          <w:szCs w:val="32"/>
        </w:rPr>
        <w:t>报名地点：新郑市公立人民医院 科研楼3楼财务部</w:t>
      </w:r>
    </w:p>
    <w:p>
      <w:pPr>
        <w:keepNext w:val="0"/>
        <w:keepLines w:val="0"/>
        <w:pageBreakBefore w:val="0"/>
        <w:kinsoku/>
        <w:wordWrap/>
        <w:overflowPunct/>
        <w:topLinePunct w:val="0"/>
        <w:autoSpaceDE/>
        <w:autoSpaceDN/>
        <w:bidi w:val="0"/>
        <w:snapToGrid/>
        <w:spacing w:line="460" w:lineRule="exact"/>
        <w:ind w:left="630"/>
        <w:textAlignment w:val="auto"/>
        <w:rPr>
          <w:rFonts w:hint="eastAsia" w:ascii="仿宋_GB2312" w:eastAsia="仿宋_GB2312"/>
          <w:color w:val="FF0000"/>
          <w:sz w:val="32"/>
          <w:szCs w:val="32"/>
          <w:lang w:eastAsia="zh-CN"/>
        </w:rPr>
      </w:pPr>
      <w:r>
        <w:rPr>
          <w:rFonts w:hint="eastAsia" w:ascii="仿宋_GB2312" w:eastAsia="仿宋_GB2312"/>
          <w:sz w:val="32"/>
          <w:szCs w:val="32"/>
        </w:rPr>
        <w:t>3、报名须知：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rPr>
        <w:t>原件及复印件一份，授权委托书以及被授权人身份证</w:t>
      </w:r>
      <w:r>
        <w:rPr>
          <w:rFonts w:hint="eastAsia" w:ascii="仿宋_GB2312" w:eastAsia="仿宋_GB2312"/>
          <w:color w:val="FF0000"/>
          <w:sz w:val="32"/>
          <w:szCs w:val="32"/>
          <w:lang w:eastAsia="zh-CN"/>
        </w:rPr>
        <w:t>及资质证书。</w:t>
      </w:r>
    </w:p>
    <w:p>
      <w:pPr>
        <w:pStyle w:val="19"/>
        <w:keepNext w:val="0"/>
        <w:keepLines w:val="0"/>
        <w:pageBreakBefore w:val="0"/>
        <w:kinsoku/>
        <w:wordWrap/>
        <w:overflowPunct/>
        <w:topLinePunct w:val="0"/>
        <w:autoSpaceDE/>
        <w:autoSpaceDN/>
        <w:bidi w:val="0"/>
        <w:snapToGrid/>
        <w:spacing w:line="460" w:lineRule="exact"/>
        <w:ind w:firstLine="640" w:firstLineChars="200"/>
        <w:textAlignment w:val="auto"/>
      </w:pPr>
      <w:r>
        <w:rPr>
          <w:rFonts w:hint="eastAsia" w:ascii="仿宋_GB2312" w:hAnsi="Calibri" w:eastAsia="仿宋_GB2312" w:cs="Times New Roman"/>
          <w:color w:val="C00000"/>
          <w:sz w:val="32"/>
          <w:szCs w:val="32"/>
          <w:highlight w:val="yellow"/>
        </w:rPr>
        <w:t>4、本项目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五、评审</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color w:val="C00000"/>
          <w:sz w:val="32"/>
          <w:szCs w:val="32"/>
        </w:rPr>
      </w:pPr>
      <w:r>
        <w:rPr>
          <w:rFonts w:hint="eastAsia" w:ascii="仿宋_GB2312" w:eastAsia="仿宋_GB2312"/>
          <w:b/>
          <w:sz w:val="32"/>
          <w:szCs w:val="32"/>
        </w:rPr>
        <w:t>评审时间：</w:t>
      </w:r>
      <w:r>
        <w:rPr>
          <w:rFonts w:hint="eastAsia" w:ascii="仿宋_GB2312" w:eastAsia="仿宋_GB2312"/>
          <w:b/>
          <w:color w:val="C00000"/>
          <w:sz w:val="32"/>
          <w:szCs w:val="32"/>
        </w:rPr>
        <w:t>另行通知</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keepNext w:val="0"/>
        <w:keepLines w:val="0"/>
        <w:pageBreakBefore w:val="0"/>
        <w:widowControl/>
        <w:shd w:val="clear" w:color="auto" w:fill="FFFFFF"/>
        <w:kinsoku/>
        <w:wordWrap/>
        <w:overflowPunct/>
        <w:topLinePunct w:val="0"/>
        <w:autoSpaceDE/>
        <w:autoSpaceDN/>
        <w:bidi w:val="0"/>
        <w:snapToGrid/>
        <w:spacing w:line="46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邮</w:t>
      </w:r>
      <w:r>
        <w:rPr>
          <w:rFonts w:ascii="仿宋_GB2312" w:eastAsia="仿宋_GB2312"/>
          <w:b/>
          <w:sz w:val="32"/>
          <w:szCs w:val="32"/>
        </w:rPr>
        <w:t>    </w:t>
      </w:r>
      <w:r>
        <w:rPr>
          <w:rFonts w:hint="eastAsia" w:ascii="仿宋_GB2312" w:eastAsia="仿宋_GB2312"/>
          <w:b/>
          <w:sz w:val="32"/>
          <w:szCs w:val="32"/>
        </w:rPr>
        <w:t xml:space="preserve">  </w:t>
      </w:r>
      <w:r>
        <w:rPr>
          <w:rFonts w:ascii="仿宋_GB2312" w:eastAsia="仿宋_GB2312"/>
          <w:b/>
          <w:sz w:val="32"/>
          <w:szCs w:val="32"/>
        </w:rPr>
        <w:t>箱：</w:t>
      </w:r>
      <w:r>
        <w:fldChar w:fldCharType="begin"/>
      </w:r>
      <w:r>
        <w:instrText xml:space="preserve"> HYPERLINK "mailto:xzsglyyzbb@126.com" </w:instrText>
      </w:r>
      <w:r>
        <w:fldChar w:fldCharType="separate"/>
      </w:r>
      <w:r>
        <w:rPr>
          <w:rFonts w:ascii="仿宋_GB2312" w:eastAsia="仿宋_GB2312"/>
          <w:b/>
          <w:sz w:val="32"/>
          <w:szCs w:val="32"/>
        </w:rPr>
        <w:t>xzsglyyzbb@126.com</w:t>
      </w:r>
      <w:r>
        <w:rPr>
          <w:rFonts w:ascii="仿宋_GB2312" w:eastAsia="仿宋_GB2312"/>
          <w:b/>
          <w:sz w:val="32"/>
          <w:szCs w:val="32"/>
        </w:rPr>
        <w:fldChar w:fldCharType="end"/>
      </w: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响应须知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本磋商文件仅适用于本次磋商文件招标公告中的所叙述的内容。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2.1响应供应商是指向采购人提供货物、工程或者服务的法人、其他组织或者自然人。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2.2.本次响应供应商必须符合下列条件：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无论磋商活动中的做法和结果如何，供应商均应自行承担所有与参与招标活动有关的全部费用。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无论响应结果如何，采购人均无向供应商解释其成交或未成交原因的义务。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无论成交与否，已发放磋商文件的供应商对磋商文件负保密责任。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供应商应按磋商文件的要求准备标书，并保证所提供的全部资料的真实性，准确性及完整性，以使其磋商活动做出实质性的响应，否则其响应资格有可能被评审小组否决。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响应文件的格式要求按照响应文件格式要求准备。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的签署、密封和标记：响应文件文件共五份，其中“正本”两份，“副本”三份，如正副本内容不符，以“正本”为准，副本为正本的复印件。响应文件正副本均应采用A4纸打印（图表页可例外），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签署：响应文件正本每一页均应加盖供应商单位公章，其余为正本复印件。响应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响应文件的密封：响应文件应进行密封递交</w:t>
      </w:r>
    </w:p>
    <w:p>
      <w:pPr>
        <w:pStyle w:val="19"/>
      </w:pPr>
    </w:p>
    <w:p>
      <w:pPr>
        <w:pStyle w:val="19"/>
      </w:pPr>
    </w:p>
    <w:p>
      <w:pPr>
        <w:pStyle w:val="19"/>
      </w:pPr>
    </w:p>
    <w:p>
      <w:pPr>
        <w:pStyle w:val="19"/>
      </w:pPr>
    </w:p>
    <w:p>
      <w:pPr>
        <w:pStyle w:val="19"/>
      </w:pPr>
    </w:p>
    <w:p>
      <w:pPr>
        <w:pStyle w:val="19"/>
      </w:pPr>
    </w:p>
    <w:p>
      <w:pPr>
        <w:numPr>
          <w:ilvl w:val="0"/>
          <w:numId w:val="6"/>
        </w:numPr>
        <w:jc w:val="center"/>
        <w:rPr>
          <w:rFonts w:ascii="黑体" w:hAnsi="黑体" w:eastAsia="黑体" w:cs="黑体"/>
          <w:sz w:val="32"/>
          <w:szCs w:val="32"/>
        </w:rPr>
      </w:pPr>
      <w:r>
        <w:rPr>
          <w:rFonts w:hint="eastAsia" w:ascii="黑体" w:hAnsi="黑体" w:eastAsia="黑体" w:cs="黑体"/>
          <w:sz w:val="32"/>
          <w:szCs w:val="32"/>
        </w:rPr>
        <w:t>评审细则</w:t>
      </w:r>
    </w:p>
    <w:p>
      <w:pPr>
        <w:spacing w:line="560" w:lineRule="exact"/>
        <w:ind w:right="-92" w:rightChars="-44" w:firstLine="480" w:firstLineChars="200"/>
        <w:rPr>
          <w:rFonts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ascii="宋体" w:hAnsi="宋体"/>
          <w:bCs/>
          <w:sz w:val="24"/>
        </w:rPr>
      </w:pPr>
      <w:r>
        <w:rPr>
          <w:rFonts w:hint="eastAsia" w:ascii="宋体" w:hAnsi="宋体"/>
          <w:bCs/>
          <w:sz w:val="24"/>
        </w:rPr>
        <w:t>评标办法：评标委员会将采用综合评估法确定中标单位。</w:t>
      </w:r>
    </w:p>
    <w:tbl>
      <w:tblPr>
        <w:tblStyle w:val="13"/>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r>
              <w:rPr>
                <w:rFonts w:hint="eastAsia"/>
              </w:rPr>
              <w:t>报价部分：</w:t>
            </w:r>
            <w:r>
              <w:rPr>
                <w:rFonts w:hint="eastAsia"/>
                <w:u w:val="single"/>
              </w:rPr>
              <w:t xml:space="preserve">  40  </w:t>
            </w:r>
            <w:r>
              <w:rPr>
                <w:rFonts w:hint="eastAsia"/>
              </w:rPr>
              <w:t>分</w:t>
            </w:r>
          </w:p>
          <w:p>
            <w:r>
              <w:rPr>
                <w:rFonts w:hint="eastAsia"/>
                <w:lang w:eastAsia="zh-CN"/>
              </w:rPr>
              <w:t>实施方案</w:t>
            </w:r>
            <w:r>
              <w:rPr>
                <w:rFonts w:hint="eastAsia"/>
              </w:rPr>
              <w:t>：</w:t>
            </w:r>
            <w:r>
              <w:rPr>
                <w:rFonts w:hint="eastAsia"/>
                <w:u w:val="single"/>
              </w:rPr>
              <w:t xml:space="preserve"> </w:t>
            </w:r>
            <w:r>
              <w:rPr>
                <w:rFonts w:hint="eastAsia"/>
                <w:u w:val="single"/>
                <w:lang w:val="en-US" w:eastAsia="zh-CN"/>
              </w:rPr>
              <w:t>3</w:t>
            </w:r>
            <w:r>
              <w:rPr>
                <w:rFonts w:hint="eastAsia"/>
                <w:u w:val="single"/>
              </w:rPr>
              <w:t xml:space="preserve">0  </w:t>
            </w:r>
            <w:r>
              <w:rPr>
                <w:rFonts w:hint="eastAsia"/>
              </w:rPr>
              <w:t>分</w:t>
            </w:r>
          </w:p>
          <w:p>
            <w:r>
              <w:rPr>
                <w:rFonts w:hint="eastAsia"/>
              </w:rPr>
              <w:t>综合部分：</w:t>
            </w:r>
            <w:r>
              <w:rPr>
                <w:rFonts w:hint="eastAsia"/>
                <w:u w:val="single"/>
              </w:rPr>
              <w:t xml:space="preserve">  </w:t>
            </w:r>
            <w:r>
              <w:rPr>
                <w:rFonts w:hint="eastAsia"/>
                <w:u w:val="single"/>
                <w:lang w:val="en-US" w:eastAsia="zh-CN"/>
              </w:rPr>
              <w:t>3</w:t>
            </w:r>
            <w:r>
              <w:rPr>
                <w:rFonts w:hint="eastAsia"/>
                <w:u w:val="single"/>
              </w:rPr>
              <w:t xml:space="preserve">0  </w:t>
            </w:r>
            <w:r>
              <w:rPr>
                <w:rFonts w:hint="eastAsia"/>
              </w:rPr>
              <w:t>分</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r>
              <w:rPr>
                <w:rFonts w:hint="eastAsia"/>
              </w:rPr>
              <w:t>满足招标文件要求且投标报价折扣率最低值为评标基准价，得满分40分，其余投标人得分按照以下公式计算：</w:t>
            </w:r>
          </w:p>
          <w:p>
            <w:r>
              <w:rPr>
                <w:rFonts w:hint="eastAsia"/>
              </w:rPr>
              <w:t>（40分）</w:t>
            </w:r>
          </w:p>
        </w:tc>
        <w:tc>
          <w:tcPr>
            <w:tcW w:w="5380" w:type="dxa"/>
            <w:vAlign w:val="center"/>
          </w:tcPr>
          <w:p>
            <w:r>
              <w:rPr>
                <w:rFonts w:hint="eastAsia"/>
              </w:rPr>
              <w:t>投标报价得分=（评标基准价/投标报价）* 40</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r>
              <w:rPr>
                <w:rFonts w:hint="eastAsia"/>
              </w:rPr>
              <w:t>实施方案（</w:t>
            </w:r>
            <w:r>
              <w:rPr>
                <w:rFonts w:hint="eastAsia"/>
                <w:lang w:val="en-US" w:eastAsia="zh-CN"/>
              </w:rPr>
              <w:t>4</w:t>
            </w:r>
            <w:r>
              <w:rPr>
                <w:rFonts w:hint="eastAsia"/>
              </w:rPr>
              <w:t>0分）</w:t>
            </w:r>
          </w:p>
        </w:tc>
        <w:tc>
          <w:tcPr>
            <w:tcW w:w="5380" w:type="dxa"/>
            <w:vAlign w:val="center"/>
          </w:tcPr>
          <w:p>
            <w:r>
              <w:rPr>
                <w:rFonts w:hint="eastAsia"/>
                <w:lang w:eastAsia="zh-CN"/>
              </w:rPr>
              <w:t>根据项目实施方案</w:t>
            </w:r>
            <w:r>
              <w:rPr>
                <w:rFonts w:hint="eastAsia"/>
              </w:rPr>
              <w:t>在0-</w:t>
            </w:r>
            <w:r>
              <w:rPr>
                <w:rFonts w:hint="eastAsia"/>
                <w:lang w:val="en-US" w:eastAsia="zh-CN"/>
              </w:rPr>
              <w:t>4</w:t>
            </w:r>
            <w:r>
              <w:rPr>
                <w:rFonts w:hint="eastAsia"/>
              </w:rPr>
              <w:t>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r>
              <w:rPr>
                <w:rFonts w:hint="eastAsia"/>
              </w:rPr>
              <w:t>综合实力（</w:t>
            </w:r>
            <w:r>
              <w:rPr>
                <w:rFonts w:hint="eastAsia"/>
                <w:lang w:val="en-US" w:eastAsia="zh-CN"/>
              </w:rPr>
              <w:t>10</w:t>
            </w:r>
            <w:r>
              <w:rPr>
                <w:rFonts w:hint="eastAsia"/>
              </w:rPr>
              <w:t>分）</w:t>
            </w:r>
          </w:p>
        </w:tc>
        <w:tc>
          <w:tcPr>
            <w:tcW w:w="5380" w:type="dxa"/>
            <w:vAlign w:val="center"/>
          </w:tcPr>
          <w:p>
            <w:pPr>
              <w:jc w:val="left"/>
            </w:pPr>
            <w:r>
              <w:rPr>
                <w:rFonts w:hint="eastAsia"/>
                <w:lang w:val="en-US" w:eastAsia="zh-CN"/>
              </w:rPr>
              <w:t>1.</w:t>
            </w:r>
            <w:r>
              <w:rPr>
                <w:rFonts w:hint="eastAsia"/>
              </w:rPr>
              <w:t>在人员、设备、资金、企业品牌综合实力等方面具有相应较强的供应能力在0-</w:t>
            </w:r>
            <w:r>
              <w:rPr>
                <w:rFonts w:hint="eastAsia"/>
                <w:lang w:val="en-US" w:eastAsia="zh-CN"/>
              </w:rPr>
              <w:t>10</w:t>
            </w:r>
            <w:r>
              <w:rPr>
                <w:rFonts w:hint="eastAsia"/>
              </w:rPr>
              <w:t>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r>
              <w:rPr>
                <w:rFonts w:hint="eastAsia"/>
              </w:rPr>
              <w:t>企业业绩（</w:t>
            </w:r>
            <w:r>
              <w:rPr>
                <w:rFonts w:hint="eastAsia"/>
                <w:lang w:val="en-US" w:eastAsia="zh-CN"/>
              </w:rPr>
              <w:t>20</w:t>
            </w:r>
            <w:r>
              <w:rPr>
                <w:rFonts w:hint="eastAsia"/>
              </w:rPr>
              <w:t>分）</w:t>
            </w:r>
          </w:p>
        </w:tc>
        <w:tc>
          <w:tcPr>
            <w:tcW w:w="5380" w:type="dxa"/>
            <w:vAlign w:val="center"/>
          </w:tcPr>
          <w:p>
            <w:r>
              <w:rPr>
                <w:rFonts w:hint="eastAsia"/>
              </w:rPr>
              <w:t>具有2019年1月1日以来类似项目业绩，每提供一份业绩得</w:t>
            </w:r>
            <w:r>
              <w:rPr>
                <w:rFonts w:hint="eastAsia"/>
                <w:lang w:val="en-US" w:eastAsia="zh-CN"/>
              </w:rPr>
              <w:t>3</w:t>
            </w:r>
            <w:r>
              <w:rPr>
                <w:rFonts w:hint="eastAsia"/>
              </w:rPr>
              <w:t>分</w:t>
            </w:r>
            <w:r>
              <w:rPr>
                <w:rFonts w:hint="eastAsia"/>
                <w:lang w:eastAsia="zh-CN"/>
              </w:rPr>
              <w:t>（需提供合同、成交通知书或发票）</w:t>
            </w:r>
            <w:r>
              <w:rPr>
                <w:rFonts w:hint="eastAsia"/>
              </w:rPr>
              <w:t>，本项最多得</w:t>
            </w:r>
            <w:r>
              <w:rPr>
                <w:rFonts w:hint="eastAsia"/>
                <w:lang w:val="en-US" w:eastAsia="zh-CN"/>
              </w:rPr>
              <w:t>20</w:t>
            </w:r>
            <w:r>
              <w:rPr>
                <w:rFonts w:hint="eastAsia"/>
              </w:rPr>
              <w:t>分。</w:t>
            </w:r>
          </w:p>
        </w:tc>
      </w:tr>
    </w:tbl>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19"/>
      </w:pPr>
    </w:p>
    <w:p>
      <w:pPr>
        <w:pStyle w:val="19"/>
      </w:pPr>
    </w:p>
    <w:p>
      <w:pPr>
        <w:pStyle w:val="19"/>
      </w:pPr>
    </w:p>
    <w:p>
      <w:pPr>
        <w:pStyle w:val="19"/>
      </w:pPr>
    </w:p>
    <w:p>
      <w:pPr>
        <w:pStyle w:val="19"/>
      </w:pPr>
    </w:p>
    <w:p>
      <w:pPr>
        <w:pStyle w:val="19"/>
      </w:pPr>
    </w:p>
    <w:p>
      <w:pPr>
        <w:pStyle w:val="19"/>
      </w:pPr>
    </w:p>
    <w:p>
      <w:pPr>
        <w:pStyle w:val="19"/>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hint="eastAsia" w:ascii="黑体" w:hAnsi="黑体" w:eastAsia="黑体" w:cs="黑体"/>
          <w:sz w:val="32"/>
          <w:szCs w:val="32"/>
        </w:rPr>
      </w:pPr>
    </w:p>
    <w:p>
      <w:pPr>
        <w:pStyle w:val="19"/>
        <w:rPr>
          <w:rFonts w:hint="eastAsia" w:ascii="黑体" w:hAnsi="黑体" w:eastAsia="黑体" w:cs="黑体"/>
          <w:sz w:val="32"/>
          <w:szCs w:val="32"/>
        </w:rPr>
      </w:pPr>
    </w:p>
    <w:p>
      <w:pPr>
        <w:pStyle w:val="19"/>
        <w:rPr>
          <w:rFonts w:hint="eastAsia"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第四章响应文件格式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WwdGdkA&#10;AAALAQAADwAAAAAAAAABACAAAAAiAAAAZHJzL2Rvd25yZXYueG1sUEsBAhQAFAAAAAgAh07iQF52&#10;w4ceAgAAXgQAAA4AAAAAAAAAAQAgAAAAKAEAAGRycy9lMm9Eb2MueG1sUEsFBgAAAAAGAAYAWQEA&#10;ALgFA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磋商公告名称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rPr>
        <w:t>磋商响应文件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响应单位：</w:t>
      </w:r>
    </w:p>
    <w:p>
      <w:pPr>
        <w:ind w:firstLine="1928" w:firstLineChars="600"/>
        <w:rPr>
          <w:rFonts w:ascii="宋体" w:hAnsi="宋体"/>
          <w:sz w:val="32"/>
          <w:szCs w:val="32"/>
        </w:rPr>
      </w:pPr>
      <w:r>
        <w:rPr>
          <w:rFonts w:hint="eastAsia" w:ascii="宋体" w:hAnsi="宋体"/>
          <w:b/>
          <w:sz w:val="32"/>
          <w:szCs w:val="32"/>
        </w:rPr>
        <w:t>响应单位代表：</w:t>
      </w:r>
    </w:p>
    <w:p>
      <w:pPr>
        <w:ind w:firstLine="1928" w:firstLineChars="600"/>
        <w:rPr>
          <w:rFonts w:ascii="宋体" w:hAnsi="宋体"/>
          <w:sz w:val="32"/>
          <w:szCs w:val="32"/>
        </w:rPr>
      </w:pPr>
      <w:r>
        <w:rPr>
          <w:rFonts w:hint="eastAsia" w:ascii="宋体" w:hAnsi="宋体"/>
          <w:b/>
          <w:sz w:val="32"/>
          <w:szCs w:val="32"/>
        </w:rPr>
        <w:t>响应单位地址：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3"/>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投标人认为应递交的其它材料</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1、响应响应文件封面右上角须标明正本、副本；2、需提供响应响应文件正本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19626747"/>
      <w:bookmarkStart w:id="1" w:name="_Toc258360158"/>
      <w:bookmarkStart w:id="2" w:name="_Toc258360269"/>
      <w:bookmarkStart w:id="3" w:name="_Toc258333636"/>
      <w:bookmarkStart w:id="4" w:name="_Toc304219257"/>
      <w:bookmarkStart w:id="5" w:name="_Toc337475854"/>
      <w:bookmarkStart w:id="6" w:name="_Toc9548"/>
      <w:bookmarkStart w:id="7" w:name="_Toc10762"/>
      <w:bookmarkStart w:id="8" w:name="_Toc320878640"/>
      <w:bookmarkStart w:id="9" w:name="_Toc337554724"/>
      <w:bookmarkStart w:id="10" w:name="_Toc248896063"/>
      <w:bookmarkStart w:id="11" w:name="_Toc17030"/>
      <w:bookmarkStart w:id="12" w:name="_Toc258354146"/>
      <w:bookmarkStart w:id="13" w:name="_Toc15313"/>
      <w:bookmarkStart w:id="14" w:name="_Toc26170886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9"/>
        <w:rPr>
          <w:rFonts w:ascii="黑体" w:hAnsi="宋体" w:eastAsia="黑体" w:cs="宋体"/>
          <w:b/>
          <w:color w:val="000000"/>
          <w:sz w:val="32"/>
          <w:szCs w:val="32"/>
        </w:rPr>
      </w:pPr>
    </w:p>
    <w:p>
      <w:pPr>
        <w:pStyle w:val="19"/>
        <w:rPr>
          <w:rFonts w:ascii="黑体" w:hAnsi="宋体" w:eastAsia="黑体" w:cs="宋体"/>
          <w:b/>
          <w:color w:val="000000"/>
          <w:sz w:val="32"/>
          <w:szCs w:val="32"/>
        </w:rPr>
      </w:pPr>
    </w:p>
    <w:p>
      <w:pPr>
        <w:pStyle w:val="19"/>
        <w:rPr>
          <w:rFonts w:ascii="黑体" w:hAnsi="宋体" w:eastAsia="黑体" w:cs="宋体"/>
          <w:b/>
          <w:color w:val="000000"/>
          <w:sz w:val="32"/>
          <w:szCs w:val="32"/>
        </w:rPr>
      </w:pPr>
    </w:p>
    <w:p>
      <w:pPr>
        <w:pStyle w:val="19"/>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9"/>
        <w:rPr>
          <w:rFonts w:ascii="黑体" w:eastAsia="黑体"/>
          <w:color w:val="00000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磋商响应函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（项目名称）的磋商文件，我方有能力也完全同意承担磋商文件规定的供货单位的全部责任和义务。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1、我方已仔细研究了全部磋商文件，完全理解并同意放弃对这方面有不明及误解的权利。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2、本响应文件始终对我方有约束力，我方将遵守磋商文件规定，履行合同责任和义务，按照磋商文件条款及规定时间、地点提供保质保量合格的产品及服务。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响应人：（公章）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9"/>
        <w:rPr>
          <w:rFonts w:ascii="黑体" w:eastAsia="黑体"/>
          <w:color w:val="000000"/>
          <w:sz w:val="32"/>
          <w:szCs w:val="32"/>
        </w:rPr>
      </w:pPr>
    </w:p>
    <w:p>
      <w:pPr>
        <w:pStyle w:val="19"/>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（项目名称）的竞争性磋商活动。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MJjA2AAAAAoBAAAPAAAAAAAAAAEAIAAAACIAAABk&#10;cnMvZG93bnJldi54bWxQSwECFAAUAAAACACHTuJAWwiQ6QYCAAA4BAAADgAAAAAAAAABACAAAAAn&#10;AQAAZHJzL2Uyb0RvYy54bWxQSwUGAAAAAAYABgBZAQAAnwU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ZhjyNkAAAAKAQAADwAAAAAAAAABACAAAAAi&#10;AAAAZHJzL2Rvd25yZXYueG1sUEsBAhQAFAAAAAgAh07iQHa1uHIJAgAAOAQAAA4AAAAAAAAAAQAg&#10;AAAAKAEAAGRycy9lMm9Eb2MueG1sUEsFBgAAAAAGAAYAWQEAAKMFA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KsO92QAAAAoBAAAPAAAAAAAAAAEAIAAAACIA&#10;AABkcnMvZG93bnJldi54bWxQSwECFAAUAAAACACHTuJARXIXMAgCAAA4BAAADgAAAAAAAAABACAA&#10;AAAoAQAAZHJzL2Uyb0RvYy54bWxQSwUGAAAAAAYABgBZAQAAog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&#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MJ/e1wAAAAgBAAAPAAAAAAAAAAEAIAAAACIAAABk&#10;cnMvZG93bnJldi54bWxQSwECFAAUAAAACACHTuJA1TCo5AcCAAA4BAAADgAAAAAAAAABACAAAAAm&#10;AQAAZHJzL2Uyb0RvYy54bWxQSwUGAAAAAAYABgBZAQAAnw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1、公平竞争参加本次磋商活动；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3、如出现以下行为，我公司及参与磋商响应的工作人员无条件接受院方及法律的处置：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⑴供货单位代表未出席磋商响应会或评审时被三次提名而供货单位无代表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⑵递交的响应文件和资质文件中有虚假内容的；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⑷磋商报价低于实际成本价的；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69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8"/>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202DD3"/>
    <w:rsid w:val="005863DE"/>
    <w:rsid w:val="005A3F93"/>
    <w:rsid w:val="006D3B87"/>
    <w:rsid w:val="00713407"/>
    <w:rsid w:val="007355C8"/>
    <w:rsid w:val="00817776"/>
    <w:rsid w:val="00952349"/>
    <w:rsid w:val="00AB4A84"/>
    <w:rsid w:val="00AF7E12"/>
    <w:rsid w:val="00C45330"/>
    <w:rsid w:val="00CE1A27"/>
    <w:rsid w:val="00D47DAF"/>
    <w:rsid w:val="0360444E"/>
    <w:rsid w:val="03C05FE9"/>
    <w:rsid w:val="041C0681"/>
    <w:rsid w:val="045C4934"/>
    <w:rsid w:val="06AB0CBE"/>
    <w:rsid w:val="07115D57"/>
    <w:rsid w:val="07480850"/>
    <w:rsid w:val="07A779E9"/>
    <w:rsid w:val="0831446C"/>
    <w:rsid w:val="08492771"/>
    <w:rsid w:val="08B25A56"/>
    <w:rsid w:val="091E4C98"/>
    <w:rsid w:val="09891DDE"/>
    <w:rsid w:val="09984B6B"/>
    <w:rsid w:val="09E9128C"/>
    <w:rsid w:val="0A1C52E7"/>
    <w:rsid w:val="0A321C94"/>
    <w:rsid w:val="0B0F299D"/>
    <w:rsid w:val="0B9D1095"/>
    <w:rsid w:val="0BD8254C"/>
    <w:rsid w:val="0CE95F36"/>
    <w:rsid w:val="0CFB4C25"/>
    <w:rsid w:val="0D456FB4"/>
    <w:rsid w:val="0D9E4273"/>
    <w:rsid w:val="0DF70796"/>
    <w:rsid w:val="0E5B26BC"/>
    <w:rsid w:val="0E9016D0"/>
    <w:rsid w:val="0E93621F"/>
    <w:rsid w:val="0F54445A"/>
    <w:rsid w:val="111B0067"/>
    <w:rsid w:val="113B3497"/>
    <w:rsid w:val="114C35D9"/>
    <w:rsid w:val="117039F2"/>
    <w:rsid w:val="11717F0E"/>
    <w:rsid w:val="117C798B"/>
    <w:rsid w:val="11953DFF"/>
    <w:rsid w:val="11C31BE9"/>
    <w:rsid w:val="12A11F66"/>
    <w:rsid w:val="13C5199E"/>
    <w:rsid w:val="14682D8B"/>
    <w:rsid w:val="16A35C46"/>
    <w:rsid w:val="170D04F7"/>
    <w:rsid w:val="17D81E85"/>
    <w:rsid w:val="186D0D29"/>
    <w:rsid w:val="188744A6"/>
    <w:rsid w:val="1965314B"/>
    <w:rsid w:val="19B126BF"/>
    <w:rsid w:val="1A0C71E7"/>
    <w:rsid w:val="1A257B62"/>
    <w:rsid w:val="1B304823"/>
    <w:rsid w:val="1BCA7DF5"/>
    <w:rsid w:val="1C900C49"/>
    <w:rsid w:val="1D5D013B"/>
    <w:rsid w:val="1D995826"/>
    <w:rsid w:val="1E4C6245"/>
    <w:rsid w:val="1F1D4095"/>
    <w:rsid w:val="1FAD5926"/>
    <w:rsid w:val="1FEA698F"/>
    <w:rsid w:val="21262AC3"/>
    <w:rsid w:val="22023BDE"/>
    <w:rsid w:val="22401398"/>
    <w:rsid w:val="245F44FD"/>
    <w:rsid w:val="246624B2"/>
    <w:rsid w:val="24DF7354"/>
    <w:rsid w:val="24FE3AD7"/>
    <w:rsid w:val="25D35ACF"/>
    <w:rsid w:val="25E13CF1"/>
    <w:rsid w:val="2643733F"/>
    <w:rsid w:val="264A511E"/>
    <w:rsid w:val="278100C0"/>
    <w:rsid w:val="27AF30E6"/>
    <w:rsid w:val="281A4847"/>
    <w:rsid w:val="288B4898"/>
    <w:rsid w:val="28AE7436"/>
    <w:rsid w:val="29CB3577"/>
    <w:rsid w:val="2A7E0BB7"/>
    <w:rsid w:val="2A826BC7"/>
    <w:rsid w:val="2B0A7B44"/>
    <w:rsid w:val="2CC10CAE"/>
    <w:rsid w:val="2ED21247"/>
    <w:rsid w:val="2F632DBF"/>
    <w:rsid w:val="30217C48"/>
    <w:rsid w:val="311B0235"/>
    <w:rsid w:val="31384F13"/>
    <w:rsid w:val="3180380D"/>
    <w:rsid w:val="31827FC3"/>
    <w:rsid w:val="32367AE2"/>
    <w:rsid w:val="33F956F6"/>
    <w:rsid w:val="35235DD9"/>
    <w:rsid w:val="355D343E"/>
    <w:rsid w:val="35803DCD"/>
    <w:rsid w:val="358D0D69"/>
    <w:rsid w:val="359022EB"/>
    <w:rsid w:val="371A00FA"/>
    <w:rsid w:val="384A7AD5"/>
    <w:rsid w:val="38664F96"/>
    <w:rsid w:val="3A3A4AA9"/>
    <w:rsid w:val="3AD243FA"/>
    <w:rsid w:val="3B1111E4"/>
    <w:rsid w:val="3B2A4846"/>
    <w:rsid w:val="3B5373B6"/>
    <w:rsid w:val="3B677688"/>
    <w:rsid w:val="3C8F1C55"/>
    <w:rsid w:val="3CCF593D"/>
    <w:rsid w:val="3DA0606C"/>
    <w:rsid w:val="3DEC493C"/>
    <w:rsid w:val="3EC01209"/>
    <w:rsid w:val="3EC24AA3"/>
    <w:rsid w:val="3EDC78BB"/>
    <w:rsid w:val="3EEB7664"/>
    <w:rsid w:val="42D064AF"/>
    <w:rsid w:val="435D287E"/>
    <w:rsid w:val="44504B88"/>
    <w:rsid w:val="44B67130"/>
    <w:rsid w:val="456841B6"/>
    <w:rsid w:val="457B6881"/>
    <w:rsid w:val="4656733B"/>
    <w:rsid w:val="46710830"/>
    <w:rsid w:val="46BB2C0A"/>
    <w:rsid w:val="47552A75"/>
    <w:rsid w:val="48161723"/>
    <w:rsid w:val="486D7AF7"/>
    <w:rsid w:val="493C56B1"/>
    <w:rsid w:val="494804BB"/>
    <w:rsid w:val="495A2A50"/>
    <w:rsid w:val="49664CB2"/>
    <w:rsid w:val="4A2A20B9"/>
    <w:rsid w:val="4AD01884"/>
    <w:rsid w:val="4B4638AD"/>
    <w:rsid w:val="4B70660F"/>
    <w:rsid w:val="4B7C13C2"/>
    <w:rsid w:val="4B9C1C97"/>
    <w:rsid w:val="4BC500AA"/>
    <w:rsid w:val="4C1C5AD5"/>
    <w:rsid w:val="4D242965"/>
    <w:rsid w:val="4D4952BF"/>
    <w:rsid w:val="4FCE5CD6"/>
    <w:rsid w:val="503F3FE4"/>
    <w:rsid w:val="50644509"/>
    <w:rsid w:val="51412A8B"/>
    <w:rsid w:val="514F77D3"/>
    <w:rsid w:val="515509C9"/>
    <w:rsid w:val="52A31D63"/>
    <w:rsid w:val="533D08A8"/>
    <w:rsid w:val="53501B3C"/>
    <w:rsid w:val="53EC32EF"/>
    <w:rsid w:val="550B217C"/>
    <w:rsid w:val="55803735"/>
    <w:rsid w:val="563E288F"/>
    <w:rsid w:val="57162389"/>
    <w:rsid w:val="57575861"/>
    <w:rsid w:val="5A7B15A2"/>
    <w:rsid w:val="5ABF3065"/>
    <w:rsid w:val="5AD50E25"/>
    <w:rsid w:val="5B736C6D"/>
    <w:rsid w:val="5C0B1608"/>
    <w:rsid w:val="5CEA2A63"/>
    <w:rsid w:val="5D327E39"/>
    <w:rsid w:val="5D4D3632"/>
    <w:rsid w:val="5D5077B4"/>
    <w:rsid w:val="5E1F7E4F"/>
    <w:rsid w:val="5E89646C"/>
    <w:rsid w:val="5ED90E8F"/>
    <w:rsid w:val="60247155"/>
    <w:rsid w:val="603040BB"/>
    <w:rsid w:val="615523A0"/>
    <w:rsid w:val="61A05A1B"/>
    <w:rsid w:val="624C1169"/>
    <w:rsid w:val="649D2897"/>
    <w:rsid w:val="64BF3E0B"/>
    <w:rsid w:val="64E26821"/>
    <w:rsid w:val="650A5D90"/>
    <w:rsid w:val="65207F71"/>
    <w:rsid w:val="653122C2"/>
    <w:rsid w:val="66016CC0"/>
    <w:rsid w:val="672F205D"/>
    <w:rsid w:val="67C71CC5"/>
    <w:rsid w:val="695C7637"/>
    <w:rsid w:val="6A3805EE"/>
    <w:rsid w:val="6A67750E"/>
    <w:rsid w:val="6B333FF1"/>
    <w:rsid w:val="6BDA23AB"/>
    <w:rsid w:val="6CD8518D"/>
    <w:rsid w:val="6ECA7999"/>
    <w:rsid w:val="6F7B0CA4"/>
    <w:rsid w:val="6F8E4227"/>
    <w:rsid w:val="6FEC0000"/>
    <w:rsid w:val="70201765"/>
    <w:rsid w:val="70E04A7D"/>
    <w:rsid w:val="70F03E6A"/>
    <w:rsid w:val="71284815"/>
    <w:rsid w:val="71B367CA"/>
    <w:rsid w:val="72AF20B0"/>
    <w:rsid w:val="73B95B82"/>
    <w:rsid w:val="73BA7E96"/>
    <w:rsid w:val="745F5922"/>
    <w:rsid w:val="75441CAA"/>
    <w:rsid w:val="754A3E80"/>
    <w:rsid w:val="77F35741"/>
    <w:rsid w:val="78481C82"/>
    <w:rsid w:val="78BC0632"/>
    <w:rsid w:val="78BE0AF1"/>
    <w:rsid w:val="792701E6"/>
    <w:rsid w:val="798E357B"/>
    <w:rsid w:val="79D27142"/>
    <w:rsid w:val="7A8647EE"/>
    <w:rsid w:val="7AFC68A2"/>
    <w:rsid w:val="7B655EDF"/>
    <w:rsid w:val="7B8A691F"/>
    <w:rsid w:val="7BC97F92"/>
    <w:rsid w:val="7C5770D8"/>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next w:val="1"/>
    <w:qFormat/>
    <w:uiPriority w:val="1"/>
    <w:pPr>
      <w:ind w:left="137"/>
    </w:pPr>
    <w:rPr>
      <w:rFonts w:ascii="宋体" w:hAnsi="宋体" w:eastAsia="宋体"/>
      <w:sz w:val="24"/>
      <w:lang w:eastAsia="en-US"/>
    </w:rPr>
  </w:style>
  <w:style w:type="paragraph" w:styleId="7">
    <w:name w:val="Body Text Indent"/>
    <w:basedOn w:val="1"/>
    <w:next w:val="1"/>
    <w:qFormat/>
    <w:uiPriority w:val="0"/>
    <w:pPr>
      <w:ind w:left="884"/>
    </w:pPr>
    <w:rPr>
      <w:sz w:val="24"/>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line="432" w:lineRule="auto"/>
      <w:jc w:val="left"/>
    </w:pPr>
    <w:rPr>
      <w:rFonts w:cs="Times New Roman"/>
      <w:kern w:val="0"/>
      <w:sz w:val="24"/>
    </w:rPr>
  </w:style>
  <w:style w:type="paragraph" w:styleId="11">
    <w:name w:val="Body Text First Indent"/>
    <w:basedOn w:val="6"/>
    <w:next w:val="1"/>
    <w:qFormat/>
    <w:uiPriority w:val="0"/>
    <w:pPr>
      <w:ind w:firstLine="420" w:firstLineChars="100"/>
    </w:pPr>
    <w:rPr>
      <w:szCs w:val="21"/>
    </w:rPr>
  </w:style>
  <w:style w:type="paragraph" w:styleId="12">
    <w:name w:val="Body Text First Indent 2"/>
    <w:basedOn w:val="7"/>
    <w:next w:val="11"/>
    <w:unhideWhenUsed/>
    <w:qFormat/>
    <w:uiPriority w:val="99"/>
    <w:pPr>
      <w:keepNext w:val="0"/>
      <w:keepLines w:val="0"/>
      <w:widowControl w:val="0"/>
      <w:suppressLineNumbers w:val="0"/>
      <w:spacing w:after="120" w:afterLines="0" w:afterAutospacing="0"/>
      <w:ind w:left="420" w:leftChars="200" w:firstLine="420" w:firstLineChars="200"/>
      <w:jc w:val="both"/>
    </w:pPr>
    <w:rPr>
      <w:rFonts w:hint="default" w:ascii="Times New Roman" w:hAnsi="Times New Roman" w:eastAsia="宋体" w:cs="Times New Roman"/>
      <w:kern w:val="2"/>
      <w:sz w:val="21"/>
      <w:szCs w:val="21"/>
      <w:lang w:val="en-US" w:eastAsia="zh-CN" w:bidi="ar"/>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qFormat/>
    <w:uiPriority w:val="0"/>
    <w:rPr>
      <w:color w:val="444444"/>
      <w:sz w:val="21"/>
      <w:szCs w:val="21"/>
      <w:u w:val="none"/>
    </w:rPr>
  </w:style>
  <w:style w:type="character" w:styleId="17">
    <w:name w:val="Hyperlink"/>
    <w:basedOn w:val="15"/>
    <w:semiHidden/>
    <w:unhideWhenUsed/>
    <w:qFormat/>
    <w:uiPriority w:val="99"/>
    <w:rPr>
      <w:rFonts w:ascii="微软雅黑" w:hAnsi="微软雅黑" w:eastAsia="微软雅黑" w:cs="微软雅黑"/>
      <w:color w:val="02396F"/>
      <w:u w:val="single"/>
    </w:rPr>
  </w:style>
  <w:style w:type="character" w:styleId="18">
    <w:name w:val="annotation reference"/>
    <w:basedOn w:val="15"/>
    <w:qFormat/>
    <w:uiPriority w:val="0"/>
    <w:rPr>
      <w:sz w:val="21"/>
      <w:szCs w:val="21"/>
    </w:rPr>
  </w:style>
  <w:style w:type="paragraph" w:customStyle="1" w:styleId="19">
    <w:name w:val="无间隔1"/>
    <w:basedOn w:val="1"/>
    <w:qFormat/>
    <w:uiPriority w:val="1"/>
    <w:pPr>
      <w:spacing w:line="400" w:lineRule="exact"/>
    </w:pPr>
    <w:rPr>
      <w:rFonts w:eastAsia="宋体"/>
      <w:sz w:val="24"/>
    </w:rPr>
  </w:style>
  <w:style w:type="paragraph" w:customStyle="1" w:styleId="20">
    <w:name w:val="Normal_3"/>
    <w:qFormat/>
    <w:uiPriority w:val="0"/>
    <w:rPr>
      <w:rFonts w:ascii="Times New Roman" w:hAnsi="Times New Roman" w:eastAsia="Times New Roman" w:cs="Times New Roman"/>
      <w:sz w:val="24"/>
      <w:szCs w:val="24"/>
      <w:lang w:val="en-US" w:eastAsia="zh-CN" w:bidi="ar-SA"/>
    </w:rPr>
  </w:style>
  <w:style w:type="character" w:customStyle="1" w:styleId="21">
    <w:name w:val="页脚 Char"/>
    <w:basedOn w:val="15"/>
    <w:link w:val="8"/>
    <w:qFormat/>
    <w:uiPriority w:val="0"/>
    <w:rPr>
      <w:rFonts w:asciiTheme="minorHAnsi" w:hAnsiTheme="minorHAnsi" w:eastAsiaTheme="minorEastAsia" w:cstheme="minorBidi"/>
      <w:kern w:val="2"/>
      <w:sz w:val="18"/>
      <w:szCs w:val="18"/>
    </w:rPr>
  </w:style>
  <w:style w:type="paragraph" w:styleId="22">
    <w:name w:val="List Paragraph"/>
    <w:basedOn w:val="1"/>
    <w:qFormat/>
    <w:uiPriority w:val="99"/>
    <w:pPr>
      <w:ind w:firstLine="420" w:firstLineChars="200"/>
    </w:pPr>
  </w:style>
  <w:style w:type="character" w:customStyle="1" w:styleId="23">
    <w:name w:val="hover15"/>
    <w:basedOn w:val="15"/>
    <w:qFormat/>
    <w:uiPriority w:val="0"/>
  </w:style>
  <w:style w:type="paragraph" w:customStyle="1" w:styleId="24">
    <w:name w:val="无间隔11"/>
    <w:basedOn w:val="1"/>
    <w:qFormat/>
    <w:uiPriority w:val="1"/>
    <w:pPr>
      <w:spacing w:line="400" w:lineRule="exact"/>
    </w:pPr>
    <w:rPr>
      <w:rFonts w:ascii="Calibri" w:hAnsi="Calibri"/>
      <w:sz w:val="24"/>
      <w:szCs w:val="22"/>
    </w:rPr>
  </w:style>
  <w:style w:type="character" w:customStyle="1" w:styleId="25">
    <w:name w:val="font21"/>
    <w:basedOn w:val="15"/>
    <w:qFormat/>
    <w:uiPriority w:val="0"/>
    <w:rPr>
      <w:rFonts w:hint="eastAsia" w:ascii="宋体" w:hAnsi="宋体" w:eastAsia="宋体" w:cs="宋体"/>
      <w:color w:val="FF0000"/>
      <w:sz w:val="24"/>
      <w:szCs w:val="24"/>
      <w:u w:val="none"/>
    </w:rPr>
  </w:style>
  <w:style w:type="paragraph" w:customStyle="1" w:styleId="26">
    <w:name w:val="No Spacing"/>
    <w:basedOn w:val="1"/>
    <w:qFormat/>
    <w:uiPriority w:val="1"/>
    <w:pPr>
      <w:spacing w:after="0" w:line="400" w:lineRule="exact"/>
    </w:pPr>
    <w:rPr>
      <w:rFonts w:eastAsia="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5793</Words>
  <Characters>5983</Characters>
  <Lines>65</Lines>
  <Paragraphs>18</Paragraphs>
  <TotalTime>16</TotalTime>
  <ScaleCrop>false</ScaleCrop>
  <LinksUpToDate>false</LinksUpToDate>
  <CharactersWithSpaces>7140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2023-06-30T03:28:00Z</dcterms:created>
  <dc:creator>一期一会</dc:creator>
  <cp:lastModifiedBy>一期一会</cp:lastModifiedBy>
  <cp:lastPrinted>2023-08-08T02:05:00Z</cp:lastPrinted>
  <dcterms:modified xsi:type="dcterms:W3CDTF">2023-10-30T02:44:10Z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B0283807E7834F529EF8AE28AFF90EA6_13</vt:lpwstr>
  </property>
</Properties>
</file>