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肠镜维修项目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3</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肠镜维修项目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肠镜维修项目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color w:val="0000FF"/>
        </w:rPr>
      </w:pPr>
      <w:r>
        <w:rPr>
          <w:rFonts w:hint="eastAsia" w:ascii="黑体" w:eastAsia="黑体"/>
          <w:sz w:val="32"/>
          <w:szCs w:val="32"/>
        </w:rPr>
        <w:t xml:space="preserve">   </w:t>
      </w:r>
      <w:r>
        <w:rPr>
          <w:rFonts w:hint="eastAsia" w:ascii="仿宋_GB2312" w:eastAsia="仿宋_GB2312" w:hAnsiTheme="minorHAnsi" w:cstheme="minorBidi"/>
          <w:color w:val="auto"/>
          <w:kern w:val="2"/>
          <w:sz w:val="32"/>
          <w:szCs w:val="32"/>
          <w:lang w:val="en-US" w:eastAsia="zh-CN" w:bidi="ar-SA"/>
        </w:rPr>
        <w:t>内镜中心肠镜出现打角度时，角度不够、上机报错信息等故障。</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日至2023年7月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bookmarkStart w:id="15" w:name="_GoBack"/>
      <w:bookmarkEnd w:id="15"/>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技术</w:t>
            </w:r>
            <w:r>
              <w:rPr>
                <w:rFonts w:hint="eastAsia"/>
              </w:rPr>
              <w:t>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w:t>
            </w:r>
            <w:r>
              <w:rPr>
                <w:rFonts w:hint="eastAsia"/>
                <w:lang w:eastAsia="zh-CN"/>
              </w:rPr>
              <w:t>方案</w:t>
            </w:r>
            <w:r>
              <w:rPr>
                <w:rFonts w:hint="eastAsia"/>
              </w:rPr>
              <w:t>：</w:t>
            </w:r>
            <w:r>
              <w:rPr>
                <w:rFonts w:hint="eastAsia"/>
                <w:u w:val="single"/>
                <w:lang w:val="en-US" w:eastAsia="zh-CN"/>
              </w:rPr>
              <w:t>2</w:t>
            </w:r>
            <w:r>
              <w:rPr>
                <w:rFonts w:hint="eastAsia"/>
                <w:u w:val="single"/>
              </w:rPr>
              <w:t xml:space="preserve">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技术部分</w:t>
            </w:r>
            <w:r>
              <w:rPr>
                <w:rFonts w:hint="eastAsia"/>
              </w:rPr>
              <w:t>（</w:t>
            </w:r>
            <w:r>
              <w:rPr>
                <w:rFonts w:hint="eastAsia"/>
                <w:lang w:val="en-US" w:eastAsia="zh-CN"/>
              </w:rPr>
              <w:t>3</w:t>
            </w:r>
            <w:r>
              <w:rPr>
                <w:rFonts w:hint="eastAsia"/>
              </w:rPr>
              <w:t>0分）</w:t>
            </w:r>
          </w:p>
        </w:tc>
        <w:tc>
          <w:tcPr>
            <w:tcW w:w="5380" w:type="dxa"/>
            <w:vAlign w:val="center"/>
          </w:tcPr>
          <w:p>
            <w:r>
              <w:rPr>
                <w:rFonts w:hint="eastAsia"/>
                <w:lang w:eastAsia="zh-CN"/>
              </w:rPr>
              <w:t>根据故障解决方案、及是否是原厂配件在</w:t>
            </w:r>
            <w:r>
              <w:rPr>
                <w:rFonts w:hint="eastAsia"/>
                <w:lang w:val="en-US" w:eastAsia="zh-CN"/>
              </w:rPr>
              <w:t>0-30分范围内打分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w:t>
            </w:r>
            <w:r>
              <w:rPr>
                <w:rFonts w:hint="eastAsia"/>
                <w:lang w:val="en-US" w:eastAsia="zh-CN"/>
              </w:rPr>
              <w:t>2</w:t>
            </w:r>
            <w:r>
              <w:rPr>
                <w:rFonts w:hint="eastAsia"/>
              </w:rPr>
              <w:t>0分）</w:t>
            </w:r>
          </w:p>
        </w:tc>
        <w:tc>
          <w:tcPr>
            <w:tcW w:w="5380" w:type="dxa"/>
            <w:vAlign w:val="center"/>
          </w:tcPr>
          <w:p>
            <w:r>
              <w:rPr>
                <w:rFonts w:hint="eastAsia"/>
              </w:rPr>
              <w:t>评委根据各投标人提供对本项目的质保、售后、其他优惠及服务承诺酌情打分，在0-</w:t>
            </w:r>
            <w:r>
              <w:rPr>
                <w:rFonts w:hint="eastAsia"/>
                <w:lang w:val="en-US" w:eastAsia="zh-CN"/>
              </w:rPr>
              <w:t>2</w:t>
            </w:r>
            <w:r>
              <w:rPr>
                <w:rFonts w:hint="eastAsia"/>
              </w:rPr>
              <w:t>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cs="新宋体"/>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新宋体" w:hAnsi="新宋体" w:eastAsia="新宋体" w:cs="新宋体"/>
          <w:sz w:val="24"/>
          <w:lang w:val="en-US" w:eastAsia="zh-CN"/>
        </w:rPr>
        <w:t>根据《中华人民共和国民法典》以及相关法律法规的规定，</w:t>
      </w: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pPr>
        <w:spacing w:line="360" w:lineRule="auto"/>
        <w:rPr>
          <w:rFonts w:hint="eastAsia" w:ascii="宋体" w:hAnsi="宋体"/>
          <w:b/>
          <w:bCs/>
          <w:szCs w:val="21"/>
        </w:rPr>
      </w:pPr>
      <w:r>
        <w:rPr>
          <w:rFonts w:hint="eastAsia" w:ascii="宋体" w:hAnsi="宋体"/>
          <w:b/>
          <w:bCs/>
          <w:szCs w:val="21"/>
        </w:rPr>
        <w:t>第一条：合同金额</w:t>
      </w:r>
    </w:p>
    <w:tbl>
      <w:tblPr>
        <w:tblStyle w:val="10"/>
        <w:tblW w:w="879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300"/>
        <w:gridCol w:w="2233"/>
        <w:gridCol w:w="122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71"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名称</w:t>
            </w:r>
          </w:p>
        </w:tc>
        <w:tc>
          <w:tcPr>
            <w:tcW w:w="1300" w:type="dxa"/>
            <w:vAlign w:val="top"/>
          </w:tcPr>
          <w:p>
            <w:pPr>
              <w:tabs>
                <w:tab w:val="left" w:pos="720"/>
                <w:tab w:val="left" w:pos="5352"/>
              </w:tabs>
              <w:spacing w:line="360" w:lineRule="auto"/>
              <w:jc w:val="center"/>
              <w:rPr>
                <w:rFonts w:hint="eastAsia" w:ascii="黑体" w:hAnsi="宋体" w:eastAsia="黑体"/>
                <w:bCs/>
                <w:szCs w:val="21"/>
                <w:lang w:eastAsia="zh-CN"/>
              </w:rPr>
            </w:pPr>
            <w:r>
              <w:rPr>
                <w:rFonts w:hint="eastAsia" w:ascii="黑体" w:hAnsi="宋体" w:eastAsia="黑体"/>
                <w:bCs/>
                <w:szCs w:val="21"/>
                <w:lang w:eastAsia="zh-CN"/>
              </w:rPr>
              <w:t>型号</w:t>
            </w:r>
          </w:p>
        </w:tc>
        <w:tc>
          <w:tcPr>
            <w:tcW w:w="2233"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单价（元）</w:t>
            </w:r>
          </w:p>
        </w:tc>
        <w:tc>
          <w:tcPr>
            <w:tcW w:w="1224"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数量</w:t>
            </w:r>
          </w:p>
        </w:tc>
        <w:tc>
          <w:tcPr>
            <w:tcW w:w="2269"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71"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300"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2233"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224" w:type="dxa"/>
            <w:vAlign w:val="center"/>
          </w:tcPr>
          <w:p>
            <w:pPr>
              <w:tabs>
                <w:tab w:val="left" w:pos="720"/>
                <w:tab w:val="left" w:pos="5352"/>
              </w:tabs>
              <w:spacing w:line="360" w:lineRule="auto"/>
              <w:jc w:val="center"/>
              <w:rPr>
                <w:rFonts w:hint="eastAsia" w:ascii="黑体" w:hAnsi="宋体" w:eastAsia="黑体"/>
                <w:bCs/>
                <w:szCs w:val="21"/>
                <w:lang w:val="en-US" w:eastAsia="zh-CN"/>
              </w:rPr>
            </w:pPr>
          </w:p>
        </w:tc>
        <w:tc>
          <w:tcPr>
            <w:tcW w:w="2269"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r>
    </w:tbl>
    <w:p>
      <w:pPr>
        <w:tabs>
          <w:tab w:val="left" w:pos="720"/>
          <w:tab w:val="left" w:pos="5352"/>
        </w:tabs>
        <w:spacing w:line="360" w:lineRule="auto"/>
        <w:rPr>
          <w:rFonts w:hint="eastAsia" w:ascii="宋体" w:hAnsi="宋体"/>
          <w:color w:val="auto"/>
          <w:szCs w:val="21"/>
        </w:rPr>
      </w:pPr>
      <w:r>
        <w:rPr>
          <w:rFonts w:hint="eastAsia" w:ascii="宋体" w:hAnsi="宋体"/>
          <w:color w:val="auto"/>
          <w:szCs w:val="21"/>
        </w:rPr>
        <w:t>本合同总价款为</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元整</w:t>
      </w:r>
      <w:r>
        <w:rPr>
          <w:rFonts w:hint="eastAsia" w:ascii="宋体" w:hAnsi="宋体"/>
          <w:color w:val="auto"/>
          <w:szCs w:val="21"/>
        </w:rPr>
        <w:t>（</w:t>
      </w:r>
      <w:r>
        <w:rPr>
          <w:rFonts w:ascii="Arial" w:hAnsi="Arial" w:cs="Arial"/>
          <w:color w:val="auto"/>
          <w:szCs w:val="21"/>
        </w:rPr>
        <w:t>¥</w:t>
      </w:r>
      <w:r>
        <w:rPr>
          <w:rFonts w:hint="eastAsia" w:ascii="Arial" w:hAnsi="Arial" w:cs="Arial"/>
          <w:color w:val="auto"/>
          <w:szCs w:val="21"/>
          <w:u w:val="single"/>
          <w:lang w:val="en-US" w:eastAsia="zh-CN"/>
        </w:rPr>
        <w:t xml:space="preserve">          </w:t>
      </w:r>
      <w:r>
        <w:rPr>
          <w:rFonts w:hint="eastAsia" w:ascii="宋体" w:hAnsi="宋体"/>
          <w:color w:val="auto"/>
          <w:szCs w:val="21"/>
        </w:rPr>
        <w:t>元</w:t>
      </w:r>
      <w:r>
        <w:rPr>
          <w:rFonts w:hint="eastAsia" w:ascii="宋体" w:hAnsi="宋体"/>
          <w:color w:val="auto"/>
          <w:szCs w:val="21"/>
          <w:lang w:val="en-US" w:eastAsia="zh-CN"/>
        </w:rPr>
        <w:t>整</w:t>
      </w:r>
      <w:r>
        <w:rPr>
          <w:rFonts w:hint="eastAsia" w:ascii="宋体" w:hAnsi="宋体"/>
          <w:color w:val="auto"/>
          <w:szCs w:val="21"/>
        </w:rPr>
        <w:t>）</w:t>
      </w:r>
    </w:p>
    <w:p>
      <w:pPr>
        <w:tabs>
          <w:tab w:val="left" w:pos="720"/>
          <w:tab w:val="left" w:pos="5352"/>
        </w:tabs>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第三条：乙方责任</w:t>
      </w:r>
    </w:p>
    <w:p>
      <w:pPr>
        <w:keepNext w:val="0"/>
        <w:keepLines w:val="0"/>
        <w:pageBreakBefore w:val="0"/>
        <w:widowControl w:val="0"/>
        <w:tabs>
          <w:tab w:val="left" w:pos="720"/>
          <w:tab w:val="left" w:pos="535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乙方</w:t>
      </w:r>
      <w:r>
        <w:rPr>
          <w:rFonts w:hint="eastAsia" w:ascii="宋体" w:hAnsi="宋体"/>
          <w:szCs w:val="21"/>
        </w:rPr>
        <w:t>负责</w:t>
      </w:r>
      <w:r>
        <w:rPr>
          <w:rFonts w:hint="eastAsia" w:ascii="宋体" w:hAnsi="宋体"/>
          <w:szCs w:val="21"/>
          <w:lang w:val="en-US" w:eastAsia="zh-CN"/>
        </w:rPr>
        <w:t>新郑市公立人民医院</w:t>
      </w:r>
      <w:r>
        <w:rPr>
          <w:rFonts w:hint="eastAsia" w:ascii="宋体" w:hAnsi="宋体"/>
          <w:szCs w:val="21"/>
          <w:lang w:eastAsia="zh-CN"/>
        </w:rPr>
        <w:t>的维修，保证</w:t>
      </w:r>
      <w:r>
        <w:rPr>
          <w:rFonts w:hint="eastAsia" w:ascii="宋体" w:hAnsi="宋体"/>
          <w:szCs w:val="21"/>
          <w:u w:val="single"/>
          <w:lang w:val="en-US" w:eastAsia="zh-CN"/>
        </w:rPr>
        <w:t xml:space="preserve">      （维修设备名称）</w:t>
      </w:r>
      <w:r>
        <w:rPr>
          <w:rFonts w:hint="eastAsia" w:ascii="宋体" w:hAnsi="宋体"/>
          <w:szCs w:val="21"/>
          <w:lang w:eastAsia="zh-CN"/>
        </w:rPr>
        <w:t>可以正常使用。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szCs w:val="21"/>
          <w:lang w:val="en-US" w:eastAsia="zh-CN"/>
        </w:rPr>
      </w:pPr>
      <w:r>
        <w:rPr>
          <w:rFonts w:hint="eastAsia" w:ascii="宋体" w:hAnsi="宋体" w:cstheme="minorBidi"/>
          <w:kern w:val="2"/>
          <w:sz w:val="21"/>
          <w:szCs w:val="21"/>
          <w:lang w:val="en-US" w:eastAsia="zh-CN" w:bidi="ar-SA"/>
        </w:rPr>
        <w:t>2、质保六个月并一季度进行一次点检</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质保</w:t>
      </w:r>
      <w:r>
        <w:rPr>
          <w:rFonts w:hint="eastAsia" w:ascii="宋体" w:hAnsi="宋体" w:eastAsiaTheme="minorEastAsia" w:cstheme="minorBidi"/>
          <w:kern w:val="2"/>
          <w:sz w:val="21"/>
          <w:szCs w:val="21"/>
          <w:lang w:val="en-US" w:eastAsia="zh-CN" w:bidi="ar-SA"/>
        </w:rPr>
        <w:t>时间按甲方验收合格之日起计算。保修期内若发生</w:t>
      </w:r>
      <w:r>
        <w:rPr>
          <w:rFonts w:hint="eastAsia" w:ascii="宋体" w:hAnsi="宋体" w:cstheme="minorBidi"/>
          <w:kern w:val="2"/>
          <w:sz w:val="21"/>
          <w:szCs w:val="21"/>
          <w:lang w:val="en-US" w:eastAsia="zh-CN" w:bidi="ar-SA"/>
        </w:rPr>
        <w:t>非人为因素的</w:t>
      </w:r>
      <w:r>
        <w:rPr>
          <w:rFonts w:hint="eastAsia" w:ascii="宋体" w:hAnsi="宋体" w:eastAsiaTheme="minorEastAsia" w:cstheme="minorBidi"/>
          <w:kern w:val="2"/>
          <w:sz w:val="21"/>
          <w:szCs w:val="21"/>
          <w:lang w:val="en-US" w:eastAsia="zh-CN" w:bidi="ar-SA"/>
        </w:rPr>
        <w:t>同一故障维修，保修日期按维修时间顺延</w:t>
      </w:r>
      <w:r>
        <w:rPr>
          <w:rFonts w:hint="eastAsia" w:ascii="宋体" w:hAnsi="宋体" w:cstheme="minorBidi"/>
          <w:kern w:val="2"/>
          <w:sz w:val="21"/>
          <w:szCs w:val="21"/>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3、质保期内，提供24小时电话技术支持服务，接到报修请求，5分钟内电话响应；24小时内到达现场解决问题。</w:t>
      </w:r>
    </w:p>
    <w:p>
      <w:pPr>
        <w:numPr>
          <w:ilvl w:val="0"/>
          <w:numId w:val="8"/>
        </w:numPr>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：甲方责任</w:t>
      </w:r>
    </w:p>
    <w:p>
      <w:pPr>
        <w:numPr>
          <w:ilvl w:val="0"/>
          <w:numId w:val="0"/>
        </w:numPr>
        <w:tabs>
          <w:tab w:val="left" w:pos="4500"/>
        </w:tabs>
        <w:spacing w:line="360" w:lineRule="auto"/>
        <w:ind w:firstLine="420" w:firstLineChars="20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甲方按合同约定及时</w:t>
      </w:r>
      <w:r>
        <w:rPr>
          <w:rFonts w:hint="eastAsia" w:ascii="宋体" w:hAnsi="宋体" w:cstheme="minorBidi"/>
          <w:kern w:val="2"/>
          <w:sz w:val="21"/>
          <w:szCs w:val="21"/>
          <w:lang w:val="en-US" w:eastAsia="zh-CN" w:bidi="ar-SA"/>
        </w:rPr>
        <w:t>支付</w:t>
      </w:r>
      <w:r>
        <w:rPr>
          <w:rFonts w:hint="eastAsia" w:ascii="宋体" w:hAnsi="宋体" w:eastAsiaTheme="minorEastAsia" w:cstheme="minorBidi"/>
          <w:kern w:val="2"/>
          <w:sz w:val="21"/>
          <w:szCs w:val="21"/>
          <w:lang w:val="en-US" w:eastAsia="zh-CN" w:bidi="ar-SA"/>
        </w:rPr>
        <w:t>维</w:t>
      </w:r>
      <w:r>
        <w:rPr>
          <w:rFonts w:hint="eastAsia" w:ascii="宋体" w:hAnsi="宋体" w:cstheme="minorBidi"/>
          <w:kern w:val="2"/>
          <w:sz w:val="21"/>
          <w:szCs w:val="21"/>
          <w:lang w:val="en-US" w:eastAsia="zh-CN" w:bidi="ar-SA"/>
        </w:rPr>
        <w:t>修</w:t>
      </w:r>
      <w:r>
        <w:rPr>
          <w:rFonts w:hint="eastAsia" w:ascii="宋体" w:hAnsi="宋体" w:eastAsiaTheme="minorEastAsia" w:cstheme="minorBidi"/>
          <w:kern w:val="2"/>
          <w:sz w:val="21"/>
          <w:szCs w:val="21"/>
          <w:lang w:val="en-US" w:eastAsia="zh-CN" w:bidi="ar-SA"/>
        </w:rPr>
        <w:t>费用。</w:t>
      </w:r>
    </w:p>
    <w:p>
      <w:pPr>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第五条：违约责任</w:t>
      </w:r>
    </w:p>
    <w:p>
      <w:pPr>
        <w:numPr>
          <w:ilvl w:val="0"/>
          <w:numId w:val="0"/>
        </w:numPr>
        <w:tabs>
          <w:tab w:val="left" w:pos="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1、</w:t>
      </w:r>
      <w:r>
        <w:rPr>
          <w:rFonts w:hint="eastAsia" w:ascii="宋体" w:hAnsi="宋体" w:eastAsiaTheme="minorEastAsia" w:cstheme="minorBidi"/>
          <w:kern w:val="2"/>
          <w:sz w:val="21"/>
          <w:szCs w:val="21"/>
          <w:lang w:val="en-US" w:eastAsia="zh-CN" w:bidi="ar-SA"/>
        </w:rPr>
        <w:t>合同一经签订立即生效，合同双方必须严格执行，若任何一方因自身原因要求变更，应首先取得双方书面或传真同意，并承担由此给对方造成的直接损失。</w:t>
      </w:r>
    </w:p>
    <w:p>
      <w:pPr>
        <w:numPr>
          <w:ilvl w:val="0"/>
          <w:numId w:val="0"/>
        </w:numPr>
        <w:tabs>
          <w:tab w:val="left" w:pos="36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2、</w:t>
      </w:r>
      <w:r>
        <w:rPr>
          <w:rFonts w:hint="eastAsia" w:ascii="宋体" w:hAnsi="宋体" w:eastAsiaTheme="minorEastAsia" w:cstheme="minorBidi"/>
          <w:kern w:val="2"/>
          <w:sz w:val="21"/>
          <w:szCs w:val="21"/>
          <w:lang w:val="en-US" w:eastAsia="zh-CN" w:bidi="ar-SA"/>
        </w:rPr>
        <w:t>合同一经生效，合同双方未经对方同意而擅自解除合同，需向对方赔偿合同总额的10％作为违约金。</w:t>
      </w:r>
    </w:p>
    <w:p>
      <w:pPr>
        <w:tabs>
          <w:tab w:val="left" w:pos="0"/>
        </w:tabs>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第六条：不可抗力</w:t>
      </w:r>
    </w:p>
    <w:p>
      <w:pPr>
        <w:tabs>
          <w:tab w:val="left" w:pos="0"/>
        </w:tabs>
        <w:spacing w:line="360" w:lineRule="auto"/>
        <w:ind w:firstLine="420" w:firstLineChars="200"/>
        <w:rPr>
          <w:rFonts w:hint="eastAsia" w:ascii="宋体" w:hAnsi="宋体"/>
          <w:szCs w:val="21"/>
        </w:rPr>
      </w:pPr>
      <w:r>
        <w:rPr>
          <w:rFonts w:hint="eastAsia" w:ascii="宋体" w:hAnsi="宋体"/>
          <w:szCs w:val="21"/>
        </w:rPr>
        <w:t>甲乙双方如由于不可抗力的原因不能履行合同，应及时向对方通报不能履行或者不能完全履行的理由，在取得有关机关证明后，延迟履行、部分履行或者不履行合同，并根据情况可部分或全部免除承担违约责任。</w:t>
      </w:r>
    </w:p>
    <w:p>
      <w:pPr>
        <w:spacing w:line="360" w:lineRule="auto"/>
        <w:rPr>
          <w:rFonts w:hint="eastAsia" w:ascii="宋体" w:hAnsi="宋体"/>
          <w:b/>
          <w:bCs/>
          <w:szCs w:val="21"/>
        </w:rPr>
      </w:pPr>
      <w:r>
        <w:rPr>
          <w:rFonts w:hint="eastAsia" w:ascii="宋体" w:hAnsi="宋体"/>
          <w:b/>
          <w:bCs/>
          <w:szCs w:val="21"/>
        </w:rPr>
        <w:t>第七条：解决合同纠纷方式:</w:t>
      </w:r>
    </w:p>
    <w:p>
      <w:pPr>
        <w:tabs>
          <w:tab w:val="left" w:pos="4500"/>
        </w:tabs>
        <w:spacing w:line="360" w:lineRule="auto"/>
        <w:ind w:firstLine="420" w:firstLineChars="200"/>
        <w:rPr>
          <w:rFonts w:hint="eastAsia" w:ascii="宋体" w:hAnsi="宋体"/>
          <w:szCs w:val="21"/>
        </w:rPr>
      </w:pPr>
      <w:r>
        <w:rPr>
          <w:rFonts w:hint="eastAsia" w:ascii="宋体" w:hAnsi="宋体"/>
          <w:szCs w:val="21"/>
        </w:rPr>
        <w:t>本合同若有争议，双方协商解决，若无法协商解决，则交由甲方驻所地有裁决权的法院裁决。</w:t>
      </w:r>
    </w:p>
    <w:p>
      <w:pPr>
        <w:pStyle w:val="19"/>
        <w:numPr>
          <w:ilvl w:val="0"/>
          <w:numId w:val="0"/>
        </w:numPr>
        <w:ind w:leftChars="0"/>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第八条：付款方式</w:t>
      </w:r>
    </w:p>
    <w:p>
      <w:pPr>
        <w:numPr>
          <w:ilvl w:val="0"/>
          <w:numId w:val="9"/>
        </w:numPr>
        <w:tabs>
          <w:tab w:val="left" w:pos="4500"/>
        </w:tabs>
        <w:spacing w:line="360" w:lineRule="auto"/>
        <w:ind w:firstLine="420" w:firstLineChars="200"/>
        <w:rPr>
          <w:rFonts w:hint="eastAsia" w:ascii="宋体" w:hAnsi="宋体"/>
          <w:szCs w:val="21"/>
          <w:lang w:val="en-US" w:eastAsia="zh-CN"/>
        </w:rPr>
      </w:pPr>
      <w:r>
        <w:rPr>
          <w:rFonts w:hint="eastAsia" w:asciiTheme="minorHAnsi" w:hAnsiTheme="minorHAnsi" w:eastAsiaTheme="minorEastAsia" w:cstheme="minorBidi"/>
          <w:kern w:val="2"/>
          <w:sz w:val="21"/>
          <w:szCs w:val="24"/>
          <w:lang w:val="en-US" w:eastAsia="zh-CN" w:bidi="ar-SA"/>
        </w:rPr>
        <w:t>设备维修项目验收合格后，甲方依据乙方发票一次性付清合同约定的维修费用。</w:t>
      </w:r>
    </w:p>
    <w:p>
      <w:pPr>
        <w:spacing w:line="360" w:lineRule="auto"/>
        <w:rPr>
          <w:rFonts w:hint="eastAsia" w:ascii="宋体" w:hAnsi="宋体"/>
          <w:b/>
          <w:bCs/>
          <w:szCs w:val="21"/>
        </w:rPr>
      </w:pPr>
      <w:r>
        <w:rPr>
          <w:rFonts w:hint="eastAsia" w:ascii="宋体" w:hAnsi="宋体"/>
          <w:b/>
          <w:bCs/>
          <w:szCs w:val="21"/>
        </w:rPr>
        <w:t>第</w:t>
      </w:r>
      <w:r>
        <w:rPr>
          <w:rFonts w:hint="eastAsia" w:ascii="宋体" w:hAnsi="宋体"/>
          <w:b/>
          <w:bCs/>
          <w:szCs w:val="21"/>
          <w:lang w:val="en-US" w:eastAsia="zh-CN"/>
        </w:rPr>
        <w:t>九</w:t>
      </w:r>
      <w:r>
        <w:rPr>
          <w:rFonts w:hint="eastAsia" w:ascii="宋体" w:hAnsi="宋体"/>
          <w:b/>
          <w:bCs/>
          <w:szCs w:val="21"/>
        </w:rPr>
        <w:t>条：其他</w:t>
      </w:r>
      <w:r>
        <w:rPr>
          <w:rFonts w:hint="eastAsia" w:ascii="宋体" w:hAnsi="宋体"/>
          <w:b/>
          <w:bCs/>
          <w:szCs w:val="21"/>
          <w:lang w:val="en-US" w:eastAsia="zh-CN"/>
        </w:rPr>
        <w:t>约定</w:t>
      </w:r>
      <w:r>
        <w:rPr>
          <w:rFonts w:hint="eastAsia" w:ascii="宋体" w:hAnsi="宋体"/>
          <w:b/>
          <w:bCs/>
          <w:szCs w:val="21"/>
        </w:rPr>
        <w:t>事项:</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1、本合同未尽事宜，可由甲乙双方商定，并签署书面补充协议。</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2、本合同一式伍份，甲方肆份，乙方壹份，具有同等法律效力。</w:t>
      </w:r>
    </w:p>
    <w:p>
      <w:pPr>
        <w:spacing w:line="360" w:lineRule="auto"/>
        <w:rPr>
          <w:rFonts w:hint="eastAsia" w:ascii="宋体" w:hAnsi="宋体"/>
          <w:b/>
          <w:bCs/>
          <w:szCs w:val="21"/>
          <w:lang w:val="en-US" w:eastAsia="zh-CN"/>
        </w:rPr>
      </w:pPr>
      <w:r>
        <w:rPr>
          <w:rFonts w:hint="eastAsia" w:ascii="宋体" w:hAnsi="宋体"/>
          <w:b/>
          <w:bCs/>
          <w:szCs w:val="21"/>
          <w:lang w:val="en-US" w:eastAsia="zh-CN"/>
        </w:rPr>
        <w:t>第十条：附则</w:t>
      </w:r>
    </w:p>
    <w:p>
      <w:pPr>
        <w:spacing w:line="360" w:lineRule="auto"/>
        <w:ind w:firstLine="420" w:firstLineChars="200"/>
        <w:rPr>
          <w:rFonts w:hint="eastAsia"/>
          <w:lang w:val="en-US" w:eastAsia="zh-CN"/>
        </w:rPr>
      </w:pPr>
      <w:r>
        <w:rPr>
          <w:rFonts w:hint="eastAsia"/>
          <w:lang w:val="en-US" w:eastAsia="zh-CN"/>
        </w:rPr>
        <w:t xml:space="preserve">本合同未尽事宜，双方应本着友好协商的精神，根据本合同书确定的原则，从实际需要出发，达成协议，所作的补充协议书具有与本合同书同等的法律效力。 </w:t>
      </w:r>
    </w:p>
    <w:p>
      <w:pPr>
        <w:spacing w:line="360" w:lineRule="auto"/>
        <w:ind w:firstLine="420" w:firstLineChars="200"/>
        <w:rPr>
          <w:rFonts w:hint="default"/>
          <w:lang w:val="en-US" w:eastAsia="zh-CN"/>
        </w:rPr>
      </w:pPr>
      <w:r>
        <w:rPr>
          <w:rFonts w:hint="eastAsia"/>
          <w:lang w:val="en-US" w:eastAsia="zh-CN"/>
        </w:rPr>
        <w:t>合同附件及形成本项目的招标文件、投标文件、《中标通知书》均为本合同不可分割的组成部分，与本合同具有同等的法律效力。</w:t>
      </w:r>
    </w:p>
    <w:p>
      <w:pPr>
        <w:rPr>
          <w:rFonts w:hint="eastAsia"/>
        </w:rPr>
      </w:pPr>
    </w:p>
    <w:p>
      <w:pPr>
        <w:rPr>
          <w:rFonts w:hint="eastAsia"/>
        </w:rPr>
      </w:pPr>
      <w:r>
        <w:rPr>
          <w:rFonts w:hint="eastAsia"/>
        </w:rPr>
        <w:t>甲方（盖章）：                      乙方（盖章）：</w:t>
      </w:r>
    </w:p>
    <w:p>
      <w:pPr>
        <w:rPr>
          <w:rFonts w:hint="eastAsia"/>
        </w:rPr>
      </w:pPr>
      <w:r>
        <w:rPr>
          <w:rFonts w:hint="eastAsia"/>
        </w:rPr>
        <w:t>签约代表：                         签约代表：</w:t>
      </w:r>
    </w:p>
    <w:p>
      <w:pPr>
        <w:rPr>
          <w:rFonts w:hint="eastAsia"/>
        </w:rPr>
      </w:pPr>
    </w:p>
    <w:p>
      <w:pPr>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33636"/>
      <w:bookmarkStart w:id="2" w:name="_Toc219626747"/>
      <w:bookmarkStart w:id="3" w:name="_Toc258354146"/>
      <w:bookmarkStart w:id="4" w:name="_Toc10762"/>
      <w:bookmarkStart w:id="5" w:name="_Toc304219257"/>
      <w:bookmarkStart w:id="6" w:name="_Toc258360158"/>
      <w:bookmarkStart w:id="7" w:name="_Toc320878640"/>
      <w:bookmarkStart w:id="8" w:name="_Toc17030"/>
      <w:bookmarkStart w:id="9" w:name="_Toc258360269"/>
      <w:bookmarkStart w:id="10" w:name="_Toc337475854"/>
      <w:bookmarkStart w:id="11" w:name="_Toc248896063"/>
      <w:bookmarkStart w:id="12" w:name="_Toc261708863"/>
      <w:bookmarkStart w:id="13" w:name="_Toc9548"/>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76E02D3"/>
    <w:multiLevelType w:val="singleLevel"/>
    <w:tmpl w:val="E76E02D3"/>
    <w:lvl w:ilvl="0" w:tentative="0">
      <w:start w:val="1"/>
      <w:numFmt w:val="decimal"/>
      <w:suff w:val="nothing"/>
      <w:lvlText w:val="%1、"/>
      <w:lvlJc w:val="left"/>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5496BEFD"/>
    <w:multiLevelType w:val="singleLevel"/>
    <w:tmpl w:val="5496BEFD"/>
    <w:lvl w:ilvl="0" w:tentative="0">
      <w:start w:val="4"/>
      <w:numFmt w:val="chineseCounting"/>
      <w:suff w:val="nothing"/>
      <w:lvlText w:val="第%1条"/>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2"/>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5F44FD"/>
    <w:rsid w:val="246624B2"/>
    <w:rsid w:val="24DF7354"/>
    <w:rsid w:val="24FE3AD7"/>
    <w:rsid w:val="25E13CF1"/>
    <w:rsid w:val="2643733F"/>
    <w:rsid w:val="264A511E"/>
    <w:rsid w:val="26827E4C"/>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3768</Words>
  <Characters>3918</Characters>
  <Lines>65</Lines>
  <Paragraphs>18</Paragraphs>
  <TotalTime>11</TotalTime>
  <ScaleCrop>false</ScaleCrop>
  <LinksUpToDate>false</LinksUpToDate>
  <CharactersWithSpaces>4483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2023-07-03T09:02:07Z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B3A23A5038F542AE8E11C7DA0289E783_13</vt:lpwstr>
  </property>
</Properties>
</file>