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rPr>
        <w:t>医用物资杂项采购项目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7"/>
      </w:pPr>
    </w:p>
    <w:p>
      <w:pPr>
        <w:pStyle w:val="17"/>
      </w:pPr>
    </w:p>
    <w:p>
      <w:pPr>
        <w:pStyle w:val="17"/>
      </w:pPr>
    </w:p>
    <w:p>
      <w:pPr>
        <w:jc w:val="center"/>
        <w:rPr>
          <w:rFonts w:ascii="黑体" w:hAnsi="黑体" w:eastAsia="黑体" w:cs="黑体"/>
          <w:sz w:val="52"/>
          <w:szCs w:val="52"/>
        </w:rPr>
      </w:pPr>
    </w:p>
    <w:p>
      <w:pPr>
        <w:pStyle w:val="17"/>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7"/>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26</w:t>
      </w:r>
      <w:r>
        <w:rPr>
          <w:rFonts w:hint="eastAsia" w:ascii="黑体" w:hAnsi="黑体" w:eastAsia="黑体" w:cs="黑体"/>
          <w:sz w:val="44"/>
          <w:szCs w:val="44"/>
        </w:rPr>
        <w:t>日</w:t>
      </w:r>
    </w:p>
    <w:p>
      <w:pPr>
        <w:pStyle w:val="17"/>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7"/>
      </w:pPr>
    </w:p>
    <w:p>
      <w:pPr>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医用物资杂项</w:t>
      </w:r>
      <w:bookmarkStart w:id="15" w:name="_GoBack"/>
      <w:bookmarkEnd w:id="15"/>
      <w:r>
        <w:rPr>
          <w:rFonts w:hint="eastAsia" w:ascii="仿宋_GB2312" w:eastAsia="仿宋_GB2312"/>
          <w:sz w:val="32"/>
          <w:szCs w:val="32"/>
        </w:rPr>
        <w:t>采购项目，具体事宜公布如下：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医用物资杂项采购</w:t>
      </w:r>
      <w:r>
        <w:rPr>
          <w:rFonts w:hint="eastAsia" w:ascii="仿宋_GB2312" w:eastAsia="仿宋_GB2312"/>
          <w:sz w:val="32"/>
          <w:szCs w:val="32"/>
        </w:rPr>
        <w:t>项目。</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7"/>
        <w:rPr>
          <w:rFonts w:eastAsia="黑体"/>
          <w:vertAlign w:val="baseline"/>
        </w:rPr>
      </w:pPr>
      <w:r>
        <w:rPr>
          <w:rFonts w:hint="eastAsia" w:ascii="黑体" w:eastAsia="黑体"/>
          <w:sz w:val="32"/>
          <w:szCs w:val="32"/>
        </w:rPr>
        <w:t xml:space="preserve">   </w:t>
      </w:r>
    </w:p>
    <w:tbl>
      <w:tblPr>
        <w:tblStyle w:val="1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936"/>
        <w:gridCol w:w="175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eastAsia="zh-CN"/>
              </w:rPr>
            </w:pPr>
            <w:r>
              <w:rPr>
                <w:rFonts w:hint="eastAsia" w:eastAsia="黑体"/>
                <w:vertAlign w:val="baseline"/>
                <w:lang w:eastAsia="zh-CN"/>
              </w:rPr>
              <w:t>序号</w:t>
            </w:r>
          </w:p>
        </w:tc>
        <w:tc>
          <w:tcPr>
            <w:tcW w:w="3936" w:type="dxa"/>
          </w:tcPr>
          <w:p>
            <w:pPr>
              <w:pStyle w:val="17"/>
              <w:jc w:val="center"/>
              <w:rPr>
                <w:rFonts w:hint="eastAsia" w:eastAsia="黑体"/>
                <w:vertAlign w:val="baseline"/>
                <w:lang w:eastAsia="zh-CN"/>
              </w:rPr>
            </w:pPr>
            <w:r>
              <w:rPr>
                <w:rFonts w:hint="eastAsia" w:eastAsia="黑体"/>
                <w:vertAlign w:val="baseline"/>
                <w:lang w:eastAsia="zh-CN"/>
              </w:rPr>
              <w:t>产品名称</w:t>
            </w:r>
          </w:p>
        </w:tc>
        <w:tc>
          <w:tcPr>
            <w:tcW w:w="1756" w:type="dxa"/>
          </w:tcPr>
          <w:p>
            <w:pPr>
              <w:pStyle w:val="17"/>
              <w:jc w:val="center"/>
              <w:rPr>
                <w:rFonts w:hint="eastAsia" w:eastAsia="黑体"/>
                <w:vertAlign w:val="baseline"/>
                <w:lang w:eastAsia="zh-CN"/>
              </w:rPr>
            </w:pPr>
            <w:r>
              <w:rPr>
                <w:rFonts w:hint="eastAsia" w:eastAsia="黑体"/>
                <w:vertAlign w:val="baseline"/>
                <w:lang w:eastAsia="zh-CN"/>
              </w:rPr>
              <w:t>单位</w:t>
            </w:r>
          </w:p>
        </w:tc>
        <w:tc>
          <w:tcPr>
            <w:tcW w:w="2073" w:type="dxa"/>
          </w:tcPr>
          <w:p>
            <w:pPr>
              <w:pStyle w:val="17"/>
              <w:tabs>
                <w:tab w:val="left" w:pos="523"/>
              </w:tabs>
              <w:jc w:val="left"/>
              <w:rPr>
                <w:rFonts w:hint="default" w:eastAsia="黑体"/>
                <w:vertAlign w:val="baseline"/>
                <w:lang w:val="en-US" w:eastAsia="zh-CN"/>
              </w:rPr>
            </w:pPr>
            <w:r>
              <w:rPr>
                <w:rFonts w:hint="eastAsia" w:eastAsia="黑体"/>
                <w:vertAlign w:val="baseline"/>
                <w:lang w:val="en-US" w:eastAsia="zh-CN"/>
              </w:rPr>
              <w:t>规格/参数要求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1</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器械清洗刷</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个</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eastAsia="zh-CN"/>
              </w:rPr>
            </w:pPr>
            <w:r>
              <w:rPr>
                <w:rFonts w:hint="eastAsia" w:ascii="黑体" w:hAnsi="黑体" w:eastAsia="黑体" w:cs="黑体"/>
                <w:sz w:val="15"/>
                <w:szCs w:val="15"/>
                <w:vertAlign w:val="baseline"/>
                <w:lang w:eastAsia="zh-CN"/>
              </w:rPr>
              <w:t>1、清洗刷的长度：满足临床管腔器械清洗要求；</w:t>
            </w:r>
          </w:p>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eastAsia="zh-CN"/>
              </w:rPr>
            </w:pPr>
            <w:r>
              <w:rPr>
                <w:rFonts w:hint="eastAsia" w:ascii="黑体" w:hAnsi="黑体" w:eastAsia="黑体" w:cs="黑体"/>
                <w:sz w:val="15"/>
                <w:szCs w:val="15"/>
                <w:vertAlign w:val="baseline"/>
                <w:lang w:eastAsia="zh-CN"/>
              </w:rPr>
              <w:t>2、清洗刷的材质：尼龙或聚丙烯材质的刷毛。符合耐用、不脱落、不吸水、不易滋生细菌和真菌；</w:t>
            </w:r>
          </w:p>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eastAsia="zh-CN"/>
              </w:rPr>
            </w:pPr>
            <w:r>
              <w:rPr>
                <w:rFonts w:hint="eastAsia" w:ascii="黑体" w:hAnsi="黑体" w:eastAsia="黑体" w:cs="黑体"/>
                <w:sz w:val="15"/>
                <w:szCs w:val="15"/>
                <w:vertAlign w:val="baseline"/>
                <w:lang w:eastAsia="zh-CN"/>
              </w:rPr>
              <w:t>3、刷毛性质：a、是要有一定的耐磨性;b、是在刷洗过程中因机械力变形后能恢复原有的形状;c、是不易分叉。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2</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季铵盐湿巾</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片</w:t>
            </w:r>
          </w:p>
        </w:tc>
        <w:tc>
          <w:tcPr>
            <w:tcW w:w="2073" w:type="dxa"/>
            <w:vAlign w:val="center"/>
          </w:tcPr>
          <w:p>
            <w:pPr>
              <w:pStyle w:val="17"/>
              <w:keepNext w:val="0"/>
              <w:keepLines w:val="0"/>
              <w:pageBreakBefore w:val="0"/>
              <w:widowControl w:val="0"/>
              <w:numPr>
                <w:ilvl w:val="0"/>
                <w:numId w:val="5"/>
              </w:numPr>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材质：无纺布。</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成分：“双链季盐消毒液”稀释液，主要成分为烷基二甲基芐基氯化铵。含量为0.3±0.02%。</w:t>
            </w:r>
          </w:p>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3.单片规格：200mm*200mm。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3</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防水罩袍</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件</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eastAsia="zh-CN"/>
              </w:rPr>
            </w:pPr>
            <w:r>
              <w:rPr>
                <w:rFonts w:hint="eastAsia" w:ascii="黑体" w:hAnsi="黑体" w:eastAsia="黑体" w:cs="黑体"/>
                <w:sz w:val="15"/>
                <w:szCs w:val="15"/>
                <w:vertAlign w:val="baseline"/>
                <w:lang w:eastAsia="zh-CN"/>
              </w:rPr>
              <w:t>100%涤纶防水布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4</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锐器保护套</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米</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耐高温食品级硅胶材质；</w:t>
            </w:r>
          </w:p>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eastAsia="zh-CN"/>
              </w:rPr>
            </w:pPr>
            <w:r>
              <w:rPr>
                <w:rFonts w:hint="eastAsia" w:ascii="黑体" w:hAnsi="黑体" w:eastAsia="黑体" w:cs="黑体"/>
                <w:sz w:val="15"/>
                <w:szCs w:val="15"/>
                <w:vertAlign w:val="baseline"/>
                <w:lang w:val="en-US" w:eastAsia="zh-CN"/>
              </w:rPr>
              <w:t>直径</w:t>
            </w:r>
            <w:r>
              <w:rPr>
                <w:rFonts w:hint="eastAsia" w:ascii="黑体" w:hAnsi="黑体" w:eastAsia="黑体" w:cs="黑体"/>
                <w:i w:val="0"/>
                <w:iCs w:val="0"/>
                <w:caps w:val="0"/>
                <w:color w:val="333333"/>
                <w:spacing w:val="0"/>
                <w:sz w:val="15"/>
                <w:szCs w:val="15"/>
                <w:shd w:val="clear" w:fill="FFFFFF"/>
              </w:rPr>
              <w:t>Φ</w:t>
            </w:r>
            <w:r>
              <w:rPr>
                <w:rFonts w:hint="eastAsia" w:ascii="黑体" w:hAnsi="黑体" w:eastAsia="黑体" w:cs="黑体"/>
                <w:sz w:val="15"/>
                <w:szCs w:val="15"/>
                <w:vertAlign w:val="baseline"/>
                <w:lang w:val="en-US" w:eastAsia="zh-CN"/>
              </w:rPr>
              <w:t>2.4mm；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5</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无水乙二醇</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瓶</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单瓶500ml；纯度≥99.7%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6</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酒精湿巾（</w:t>
            </w:r>
            <w:r>
              <w:rPr>
                <w:rFonts w:hint="eastAsia" w:eastAsia="黑体"/>
                <w:vertAlign w:val="baseline"/>
                <w:lang w:val="en-US" w:eastAsia="zh-CN"/>
              </w:rPr>
              <w:t>75%</w:t>
            </w:r>
            <w:r>
              <w:rPr>
                <w:rFonts w:hint="eastAsia" w:eastAsia="黑体"/>
                <w:vertAlign w:val="baseline"/>
                <w:lang w:eastAsia="zh-CN"/>
              </w:rPr>
              <w:t>）</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片</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1.规格≥（15*18cm/片）；2.酒精含量75%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7</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络合氯消毒湿巾</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片</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1.成分： 二氯异氰尿酸钠，有效氯含量0.18%-0.22%；缓蚀增效络合剂HZ705。</w:t>
            </w:r>
          </w:p>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eastAsia="zh-CN"/>
              </w:rPr>
            </w:pPr>
            <w:r>
              <w:rPr>
                <w:rFonts w:hint="eastAsia" w:ascii="黑体" w:hAnsi="黑体" w:eastAsia="黑体" w:cs="黑体"/>
                <w:sz w:val="15"/>
                <w:szCs w:val="15"/>
                <w:vertAlign w:val="baseline"/>
                <w:lang w:val="en-US" w:eastAsia="zh-CN"/>
              </w:rPr>
              <w:t>2.单片规格:200mm*200mm。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8</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消毒剂浓度试纸</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盒</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过氧乙酸消毒剂、含氯消毒剂如84清洗消毒液、二氯异氰尿酸钠、氯化磷酸三钠、次氯酸钠、次氯酸钙等，对其有效含量进行经常性监测使用。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eastAsia" w:eastAsia="黑体"/>
                <w:vertAlign w:val="baseline"/>
                <w:lang w:val="en-US" w:eastAsia="zh-CN"/>
              </w:rPr>
            </w:pPr>
            <w:r>
              <w:rPr>
                <w:rFonts w:hint="eastAsia" w:eastAsia="黑体"/>
                <w:vertAlign w:val="baseline"/>
                <w:lang w:val="en-US" w:eastAsia="zh-CN"/>
              </w:rPr>
              <w:t>9</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紫外线强度指示卡</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盒</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适用于杀菌紫外线灯辐照强度的监测。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default" w:eastAsia="黑体"/>
                <w:vertAlign w:val="baseline"/>
                <w:lang w:val="en-US" w:eastAsia="zh-CN"/>
              </w:rPr>
            </w:pPr>
            <w:r>
              <w:rPr>
                <w:rFonts w:hint="eastAsia" w:eastAsia="黑体"/>
                <w:vertAlign w:val="baseline"/>
                <w:lang w:val="en-US" w:eastAsia="zh-CN"/>
              </w:rPr>
              <w:t>10</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香柏油</w:t>
            </w:r>
          </w:p>
        </w:tc>
        <w:tc>
          <w:tcPr>
            <w:tcW w:w="1756" w:type="dxa"/>
            <w:vAlign w:val="center"/>
          </w:tcPr>
          <w:p>
            <w:pPr>
              <w:pStyle w:val="17"/>
              <w:jc w:val="center"/>
              <w:rPr>
                <w:rFonts w:hint="eastAsia" w:eastAsia="黑体"/>
                <w:vertAlign w:val="baseline"/>
                <w:lang w:eastAsia="zh-CN"/>
              </w:rPr>
            </w:pPr>
            <w:r>
              <w:rPr>
                <w:rFonts w:hint="eastAsia" w:eastAsia="黑体"/>
                <w:vertAlign w:val="baseline"/>
                <w:lang w:eastAsia="zh-CN"/>
              </w:rPr>
              <w:t>瓶</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eastAsia="黑体"/>
                <w:vertAlign w:val="baseline"/>
                <w:lang w:val="en-US" w:eastAsia="zh-CN"/>
              </w:rPr>
            </w:pPr>
            <w:r>
              <w:rPr>
                <w:rFonts w:hint="eastAsia" w:ascii="黑体" w:hAnsi="黑体" w:eastAsia="黑体" w:cs="黑体"/>
                <w:sz w:val="15"/>
                <w:szCs w:val="15"/>
                <w:vertAlign w:val="baseline"/>
                <w:lang w:val="en-US" w:eastAsia="zh-CN"/>
              </w:rPr>
              <w:t>规格：25ml显微镜专用；折光率: 1.5148 酸值:&lt;60，不溶于水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pStyle w:val="17"/>
              <w:jc w:val="center"/>
              <w:rPr>
                <w:rFonts w:hint="default" w:eastAsia="黑体"/>
                <w:vertAlign w:val="baseline"/>
                <w:lang w:val="en-US" w:eastAsia="zh-CN"/>
              </w:rPr>
            </w:pPr>
            <w:r>
              <w:rPr>
                <w:rFonts w:hint="eastAsia" w:eastAsia="黑体"/>
                <w:vertAlign w:val="baseline"/>
                <w:lang w:val="en-US" w:eastAsia="zh-CN"/>
              </w:rPr>
              <w:t>11</w:t>
            </w:r>
          </w:p>
        </w:tc>
        <w:tc>
          <w:tcPr>
            <w:tcW w:w="3936" w:type="dxa"/>
            <w:vAlign w:val="center"/>
          </w:tcPr>
          <w:p>
            <w:pPr>
              <w:pStyle w:val="17"/>
              <w:jc w:val="center"/>
              <w:rPr>
                <w:rFonts w:hint="eastAsia" w:eastAsia="黑体"/>
                <w:vertAlign w:val="baseline"/>
                <w:lang w:eastAsia="zh-CN"/>
              </w:rPr>
            </w:pPr>
            <w:r>
              <w:rPr>
                <w:rFonts w:hint="eastAsia" w:eastAsia="黑体"/>
                <w:vertAlign w:val="baseline"/>
                <w:lang w:eastAsia="zh-CN"/>
              </w:rPr>
              <w:t>过氧乙酸残留测定试纸</w:t>
            </w:r>
          </w:p>
        </w:tc>
        <w:tc>
          <w:tcPr>
            <w:tcW w:w="1756" w:type="dxa"/>
            <w:vAlign w:val="center"/>
          </w:tcPr>
          <w:p>
            <w:pPr>
              <w:pStyle w:val="17"/>
              <w:jc w:val="center"/>
              <w:rPr>
                <w:rFonts w:hint="default" w:eastAsia="黑体"/>
                <w:vertAlign w:val="baseline"/>
                <w:lang w:val="en-US" w:eastAsia="zh-CN"/>
              </w:rPr>
            </w:pPr>
            <w:r>
              <w:rPr>
                <w:rFonts w:hint="eastAsia" w:eastAsia="黑体"/>
                <w:vertAlign w:val="baseline"/>
                <w:lang w:val="en-US" w:eastAsia="zh-CN"/>
              </w:rPr>
              <w:t>片</w:t>
            </w:r>
          </w:p>
        </w:tc>
        <w:tc>
          <w:tcPr>
            <w:tcW w:w="2073" w:type="dxa"/>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规格：0.5-40mg/L</w:t>
            </w:r>
          </w:p>
        </w:tc>
      </w:tr>
    </w:tbl>
    <w:p>
      <w:pPr>
        <w:pStyle w:val="17"/>
        <w:rPr>
          <w:rFonts w:eastAsia="黑体"/>
        </w:rPr>
      </w:pP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w:t>
      </w:r>
      <w:r>
        <w:rPr>
          <w:rFonts w:hint="eastAsia" w:ascii="仿宋_GB2312" w:eastAsia="仿宋_GB2312"/>
          <w:sz w:val="32"/>
          <w:szCs w:val="32"/>
          <w:lang w:eastAsia="zh-CN"/>
        </w:rPr>
        <w:t>具有医疗器械经营许可证；</w:t>
      </w:r>
      <w:r>
        <w:rPr>
          <w:rFonts w:hint="eastAsia" w:ascii="仿宋_GB2312" w:eastAsia="仿宋_GB2312"/>
          <w:sz w:val="32"/>
          <w:szCs w:val="32"/>
        </w:rPr>
        <w:t>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6"/>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w:t>
      </w:r>
      <w:r>
        <w:rPr>
          <w:rFonts w:hint="eastAsia" w:ascii="仿宋_GB2312" w:eastAsia="仿宋_GB2312"/>
          <w:color w:val="FF0000"/>
          <w:sz w:val="32"/>
          <w:szCs w:val="32"/>
          <w:lang w:eastAsia="zh-CN"/>
        </w:rPr>
        <w:t>医疗器械经营许可证、</w:t>
      </w:r>
      <w:r>
        <w:rPr>
          <w:rFonts w:hint="eastAsia" w:ascii="仿宋_GB2312" w:eastAsia="仿宋_GB2312"/>
          <w:color w:val="FF0000"/>
          <w:sz w:val="32"/>
          <w:szCs w:val="32"/>
        </w:rPr>
        <w:t>授权委托书以及被授权人身份证</w:t>
      </w:r>
      <w:r>
        <w:rPr>
          <w:rFonts w:hint="eastAsia" w:ascii="仿宋_GB2312" w:eastAsia="仿宋_GB2312" w:cs="Times New Roman"/>
          <w:color w:val="FF0000"/>
          <w:sz w:val="32"/>
          <w:szCs w:val="32"/>
        </w:rPr>
        <w:t>。</w:t>
      </w:r>
    </w:p>
    <w:p>
      <w:pPr>
        <w:pStyle w:val="17"/>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pStyle w:val="17"/>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7"/>
      </w:pPr>
    </w:p>
    <w:p>
      <w:pPr>
        <w:pStyle w:val="17"/>
      </w:pPr>
    </w:p>
    <w:p>
      <w:pPr>
        <w:pStyle w:val="17"/>
      </w:pPr>
    </w:p>
    <w:p>
      <w:pPr>
        <w:pStyle w:val="17"/>
      </w:pPr>
    </w:p>
    <w:p>
      <w:pPr>
        <w:pStyle w:val="17"/>
      </w:pPr>
    </w:p>
    <w:p>
      <w:pPr>
        <w:pStyle w:val="17"/>
      </w:pPr>
    </w:p>
    <w:p>
      <w:pPr>
        <w:numPr>
          <w:ilvl w:val="0"/>
          <w:numId w:val="7"/>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rPr>
              <w:t>产品部分：</w:t>
            </w:r>
            <w:r>
              <w:rPr>
                <w:rFonts w:hint="eastAsia"/>
                <w:u w:val="single"/>
              </w:rPr>
              <w:t xml:space="preserve"> 40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服务承诺：</w:t>
            </w:r>
            <w:r>
              <w:rPr>
                <w:rFonts w:hint="eastAsia"/>
                <w:u w:val="single"/>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实施方案（40分）</w:t>
            </w:r>
          </w:p>
        </w:tc>
        <w:tc>
          <w:tcPr>
            <w:tcW w:w="5380" w:type="dxa"/>
            <w:vAlign w:val="center"/>
          </w:tcPr>
          <w:p>
            <w:r>
              <w:rPr>
                <w:rFonts w:hint="eastAsia"/>
              </w:rPr>
              <w:t>1根据项目产品品牌、</w:t>
            </w:r>
            <w:r>
              <w:rPr>
                <w:rFonts w:hint="eastAsia"/>
                <w:lang w:eastAsia="zh-CN"/>
              </w:rPr>
              <w:t>质量</w:t>
            </w:r>
            <w:r>
              <w:rPr>
                <w:rFonts w:hint="eastAsia"/>
              </w:rPr>
              <w:t>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服务承诺（10分）</w:t>
            </w:r>
          </w:p>
        </w:tc>
        <w:tc>
          <w:tcPr>
            <w:tcW w:w="5380" w:type="dxa"/>
            <w:vAlign w:val="center"/>
          </w:tcPr>
          <w:p>
            <w:r>
              <w:rPr>
                <w:rFonts w:hint="eastAsia"/>
              </w:rPr>
              <w:t>评委根据各投标人提供对本项目的质保、售后、其他优惠及服务承诺酌情打分，在0-10分范围内进行打分。</w:t>
            </w:r>
          </w:p>
        </w:tc>
      </w:tr>
    </w:tbl>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rFonts w:ascii="宋体" w:hAnsi="宋体"/>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第三条、 知识产权</w:t>
      </w:r>
    </w:p>
    <w:p>
      <w:pPr>
        <w:spacing w:line="288" w:lineRule="auto"/>
        <w:ind w:left="-176" w:leftChars="-84" w:right="-105" w:rightChars="-50" w:firstLine="360" w:firstLineChars="150"/>
        <w:jc w:val="left"/>
        <w:rPr>
          <w:sz w:val="24"/>
        </w:rPr>
      </w:pPr>
      <w:r>
        <w:rPr>
          <w:rFonts w:hint="eastAsia"/>
          <w:sz w:val="24"/>
        </w:rPr>
        <w:t>1.</w:t>
      </w:r>
      <w:r>
        <w:rPr>
          <w:sz w:val="24"/>
        </w:rPr>
        <w:t>乙方</w:t>
      </w:r>
      <w:r>
        <w:rPr>
          <w:rFonts w:hint="eastAsia"/>
          <w:sz w:val="24"/>
        </w:rPr>
        <w:t>应保护</w:t>
      </w:r>
      <w:r>
        <w:rPr>
          <w:sz w:val="24"/>
        </w:rPr>
        <w:t>甲方</w:t>
      </w:r>
      <w:r>
        <w:rPr>
          <w:rFonts w:hint="eastAsia"/>
          <w:sz w:val="24"/>
        </w:rPr>
        <w:t>在使用该货物或其任何一部分时不受第三方提出侵犯专利权、商标权、著作权、工业设计权或其它知识产权起诉的指控。</w:t>
      </w:r>
      <w:r>
        <w:rPr>
          <w:sz w:val="24"/>
        </w:rPr>
        <w:t>任何第三方如果提出此方面指控均与甲方无关，乙方应与第三方交涉并承担可能发生的一切法律责任、费用和后果；若甲方因此而遭致损失，则乙方应赔偿</w:t>
      </w:r>
      <w:r>
        <w:rPr>
          <w:rFonts w:hint="eastAsia"/>
          <w:sz w:val="24"/>
        </w:rPr>
        <w:t>甲方</w:t>
      </w:r>
      <w:r>
        <w:rPr>
          <w:sz w:val="24"/>
        </w:rPr>
        <w:t>该损失</w:t>
      </w:r>
      <w:r>
        <w:rPr>
          <w:rFonts w:hint="eastAsia"/>
          <w:sz w:val="24"/>
        </w:rPr>
        <w:t>。</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第四条、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第五条、质量保证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第六条、交货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第七条、项目验收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第八条、付款方式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第九条、质保期及售后服务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每十一条、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第十二条、不可抗力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第十三条、保密条款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第十四条、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第十五条、合同生效及其他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17"/>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hint="eastAsia" w:ascii="黑体" w:hAnsi="黑体" w:eastAsia="黑体" w:cs="黑体"/>
          <w:sz w:val="32"/>
          <w:szCs w:val="32"/>
        </w:rPr>
      </w:pPr>
    </w:p>
    <w:p>
      <w:pPr>
        <w:pStyle w:val="17"/>
        <w:rPr>
          <w:rFonts w:hint="eastAsia" w:ascii="黑体" w:hAnsi="黑体" w:eastAsia="黑体" w:cs="黑体"/>
          <w:sz w:val="32"/>
          <w:szCs w:val="32"/>
        </w:rPr>
      </w:pPr>
    </w:p>
    <w:p>
      <w:pPr>
        <w:pStyle w:val="17"/>
        <w:rPr>
          <w:rFonts w:hint="eastAsia"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pStyle w:val="17"/>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须包含详细产品信息，如品牌、规格型号</w:t>
            </w: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产品信息</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包含技术偏离表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9548"/>
      <w:bookmarkStart w:id="2" w:name="_Toc258333636"/>
      <w:bookmarkStart w:id="3" w:name="_Toc304219257"/>
      <w:bookmarkStart w:id="4" w:name="_Toc337554724"/>
      <w:bookmarkStart w:id="5" w:name="_Toc248896063"/>
      <w:bookmarkStart w:id="6" w:name="_Toc219626747"/>
      <w:bookmarkStart w:id="7" w:name="_Toc258360269"/>
      <w:bookmarkStart w:id="8" w:name="_Toc17030"/>
      <w:bookmarkStart w:id="9" w:name="_Toc258354146"/>
      <w:bookmarkStart w:id="10" w:name="_Toc258360158"/>
      <w:bookmarkStart w:id="11" w:name="_Toc15313"/>
      <w:bookmarkStart w:id="12" w:name="_Toc320878640"/>
      <w:bookmarkStart w:id="13" w:name="_Toc337475854"/>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7"/>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7"/>
        <w:rPr>
          <w:rFonts w:ascii="黑体" w:eastAsia="黑体"/>
          <w:color w:val="000000"/>
          <w:sz w:val="32"/>
          <w:szCs w:val="32"/>
        </w:rPr>
      </w:pPr>
    </w:p>
    <w:p>
      <w:pPr>
        <w:pStyle w:val="17"/>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AD139C64"/>
    <w:multiLevelType w:val="singleLevel"/>
    <w:tmpl w:val="AD139C64"/>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4"/>
  </w:num>
  <w:num w:numId="4">
    <w:abstractNumId w:val="3"/>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2225B04"/>
    <w:rsid w:val="0360444E"/>
    <w:rsid w:val="03C05FE9"/>
    <w:rsid w:val="041C0681"/>
    <w:rsid w:val="045C4934"/>
    <w:rsid w:val="06AB0CBE"/>
    <w:rsid w:val="07115D57"/>
    <w:rsid w:val="0728596A"/>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F30ADF"/>
    <w:rsid w:val="111B0067"/>
    <w:rsid w:val="114C35D9"/>
    <w:rsid w:val="117039F2"/>
    <w:rsid w:val="11717F0E"/>
    <w:rsid w:val="117C798B"/>
    <w:rsid w:val="11953DFF"/>
    <w:rsid w:val="11C31BE9"/>
    <w:rsid w:val="12A11F66"/>
    <w:rsid w:val="13C5199E"/>
    <w:rsid w:val="14204650"/>
    <w:rsid w:val="14682D8B"/>
    <w:rsid w:val="158C17BA"/>
    <w:rsid w:val="16A35C46"/>
    <w:rsid w:val="170D04F7"/>
    <w:rsid w:val="17D81E85"/>
    <w:rsid w:val="186D0D29"/>
    <w:rsid w:val="188744A6"/>
    <w:rsid w:val="1965314B"/>
    <w:rsid w:val="1A0C71E7"/>
    <w:rsid w:val="1A257B62"/>
    <w:rsid w:val="1B304823"/>
    <w:rsid w:val="1BCA7DF5"/>
    <w:rsid w:val="1C900C49"/>
    <w:rsid w:val="1D5D013B"/>
    <w:rsid w:val="1D995826"/>
    <w:rsid w:val="1DAB29F9"/>
    <w:rsid w:val="1E4C6245"/>
    <w:rsid w:val="1F1D4095"/>
    <w:rsid w:val="1FAD5926"/>
    <w:rsid w:val="1FEA698F"/>
    <w:rsid w:val="20491554"/>
    <w:rsid w:val="21BC51D5"/>
    <w:rsid w:val="22023BDE"/>
    <w:rsid w:val="22401398"/>
    <w:rsid w:val="245F44FD"/>
    <w:rsid w:val="246624B2"/>
    <w:rsid w:val="24DF7354"/>
    <w:rsid w:val="24FE3AD7"/>
    <w:rsid w:val="25D35ACF"/>
    <w:rsid w:val="25E13CF1"/>
    <w:rsid w:val="2643733F"/>
    <w:rsid w:val="264A511E"/>
    <w:rsid w:val="27781B9E"/>
    <w:rsid w:val="278100C0"/>
    <w:rsid w:val="27AF30E6"/>
    <w:rsid w:val="281A4847"/>
    <w:rsid w:val="288B4898"/>
    <w:rsid w:val="28AE7436"/>
    <w:rsid w:val="2A7E0BB7"/>
    <w:rsid w:val="2A826BC7"/>
    <w:rsid w:val="2B0A7B44"/>
    <w:rsid w:val="2CC10CAE"/>
    <w:rsid w:val="2ED21247"/>
    <w:rsid w:val="2F632DBF"/>
    <w:rsid w:val="3011244D"/>
    <w:rsid w:val="30217C48"/>
    <w:rsid w:val="311B0235"/>
    <w:rsid w:val="31384F13"/>
    <w:rsid w:val="31827FC3"/>
    <w:rsid w:val="32367AE2"/>
    <w:rsid w:val="33F956F6"/>
    <w:rsid w:val="3429598A"/>
    <w:rsid w:val="35235DD9"/>
    <w:rsid w:val="355D343E"/>
    <w:rsid w:val="35803DCD"/>
    <w:rsid w:val="358D0D69"/>
    <w:rsid w:val="359022EB"/>
    <w:rsid w:val="359A53D6"/>
    <w:rsid w:val="384A7AD5"/>
    <w:rsid w:val="3A3A4AA9"/>
    <w:rsid w:val="3AD243FA"/>
    <w:rsid w:val="3B1111E4"/>
    <w:rsid w:val="3B2A4846"/>
    <w:rsid w:val="3B5373B6"/>
    <w:rsid w:val="3B677688"/>
    <w:rsid w:val="3C8F1C55"/>
    <w:rsid w:val="3CCF593D"/>
    <w:rsid w:val="3D0715A3"/>
    <w:rsid w:val="3DA0606C"/>
    <w:rsid w:val="3DEC493C"/>
    <w:rsid w:val="3EC01209"/>
    <w:rsid w:val="3EC24AA3"/>
    <w:rsid w:val="3EDC78BB"/>
    <w:rsid w:val="3EEB7664"/>
    <w:rsid w:val="409C7882"/>
    <w:rsid w:val="41F86EC8"/>
    <w:rsid w:val="435D287E"/>
    <w:rsid w:val="44504B88"/>
    <w:rsid w:val="44B67130"/>
    <w:rsid w:val="456841B6"/>
    <w:rsid w:val="457B6881"/>
    <w:rsid w:val="4656733B"/>
    <w:rsid w:val="46710830"/>
    <w:rsid w:val="46BB2C0A"/>
    <w:rsid w:val="47552A75"/>
    <w:rsid w:val="479903C6"/>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E393586"/>
    <w:rsid w:val="4FCE5CD6"/>
    <w:rsid w:val="503F3FE4"/>
    <w:rsid w:val="50644509"/>
    <w:rsid w:val="51412A8B"/>
    <w:rsid w:val="514F77D3"/>
    <w:rsid w:val="515509C9"/>
    <w:rsid w:val="52A31D63"/>
    <w:rsid w:val="533D08A8"/>
    <w:rsid w:val="53501B3C"/>
    <w:rsid w:val="53EC32EF"/>
    <w:rsid w:val="53F86BB9"/>
    <w:rsid w:val="550B217C"/>
    <w:rsid w:val="55803735"/>
    <w:rsid w:val="563E288F"/>
    <w:rsid w:val="57162389"/>
    <w:rsid w:val="57575861"/>
    <w:rsid w:val="5A7B15A2"/>
    <w:rsid w:val="5ABF3065"/>
    <w:rsid w:val="5AD50E25"/>
    <w:rsid w:val="5B736C6D"/>
    <w:rsid w:val="5C0B1608"/>
    <w:rsid w:val="5CEA2A63"/>
    <w:rsid w:val="5D327E39"/>
    <w:rsid w:val="5D4D3632"/>
    <w:rsid w:val="5D5077B4"/>
    <w:rsid w:val="5D7C523D"/>
    <w:rsid w:val="5DD66738"/>
    <w:rsid w:val="5E89646C"/>
    <w:rsid w:val="5ED90E8F"/>
    <w:rsid w:val="60247155"/>
    <w:rsid w:val="603040BB"/>
    <w:rsid w:val="615523A0"/>
    <w:rsid w:val="61A05A1B"/>
    <w:rsid w:val="624C1169"/>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2B33057"/>
    <w:rsid w:val="72EC51B3"/>
    <w:rsid w:val="73B95B82"/>
    <w:rsid w:val="73BA7E96"/>
    <w:rsid w:val="745F5922"/>
    <w:rsid w:val="75441CAA"/>
    <w:rsid w:val="77F35741"/>
    <w:rsid w:val="78481C82"/>
    <w:rsid w:val="7879513C"/>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Emphasis"/>
    <w:basedOn w:val="12"/>
    <w:qFormat/>
    <w:uiPriority w:val="0"/>
    <w:rPr>
      <w:i/>
    </w:rPr>
  </w:style>
  <w:style w:type="character" w:styleId="15">
    <w:name w:val="Hyperlink"/>
    <w:basedOn w:val="12"/>
    <w:semiHidden/>
    <w:unhideWhenUsed/>
    <w:qFormat/>
    <w:uiPriority w:val="99"/>
    <w:rPr>
      <w:rFonts w:ascii="微软雅黑" w:hAnsi="微软雅黑" w:eastAsia="微软雅黑" w:cs="微软雅黑"/>
      <w:color w:val="02396F"/>
      <w:u w:val="single"/>
    </w:rPr>
  </w:style>
  <w:style w:type="character" w:styleId="16">
    <w:name w:val="annotation reference"/>
    <w:basedOn w:val="12"/>
    <w:qFormat/>
    <w:uiPriority w:val="0"/>
    <w:rPr>
      <w:sz w:val="21"/>
      <w:szCs w:val="21"/>
    </w:rPr>
  </w:style>
  <w:style w:type="paragraph" w:customStyle="1" w:styleId="17">
    <w:name w:val="无间隔1"/>
    <w:basedOn w:val="1"/>
    <w:qFormat/>
    <w:uiPriority w:val="1"/>
    <w:pPr>
      <w:spacing w:line="400" w:lineRule="exact"/>
    </w:pPr>
    <w:rPr>
      <w:rFonts w:eastAsia="宋体"/>
      <w:sz w:val="24"/>
    </w:rPr>
  </w:style>
  <w:style w:type="paragraph" w:customStyle="1" w:styleId="18">
    <w:name w:val="Normal_3"/>
    <w:qFormat/>
    <w:uiPriority w:val="0"/>
    <w:rPr>
      <w:rFonts w:ascii="Times New Roman" w:hAnsi="Times New Roman" w:eastAsia="Times New Roman" w:cs="Times New Roman"/>
      <w:sz w:val="24"/>
      <w:szCs w:val="24"/>
      <w:lang w:val="en-US" w:eastAsia="zh-CN" w:bidi="ar-SA"/>
    </w:rPr>
  </w:style>
  <w:style w:type="character" w:customStyle="1" w:styleId="19">
    <w:name w:val="页脚 Char"/>
    <w:basedOn w:val="12"/>
    <w:link w:val="7"/>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 w:type="character" w:customStyle="1" w:styleId="21">
    <w:name w:val="hover15"/>
    <w:basedOn w:val="12"/>
    <w:qFormat/>
    <w:uiPriority w:val="0"/>
  </w:style>
  <w:style w:type="paragraph" w:customStyle="1" w:styleId="22">
    <w:name w:val="无间隔11"/>
    <w:basedOn w:val="1"/>
    <w:qFormat/>
    <w:uiPriority w:val="1"/>
    <w:pPr>
      <w:spacing w:line="400" w:lineRule="exact"/>
    </w:pPr>
    <w:rPr>
      <w:rFonts w:ascii="Calibri" w:hAnsi="Calibri"/>
      <w:sz w:val="24"/>
      <w:szCs w:val="22"/>
    </w:rPr>
  </w:style>
  <w:style w:type="character" w:customStyle="1" w:styleId="23">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6074</Words>
  <Characters>6365</Characters>
  <Lines>65</Lines>
  <Paragraphs>18</Paragraphs>
  <TotalTime>82</TotalTime>
  <ScaleCrop>false</ScaleCrop>
  <LinksUpToDate>false</LinksUpToDate>
  <CharactersWithSpaces>7546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2023-07-28T01:41:19Z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2E2E8CC51D8A42918197755407FB6EAD_13</vt:lpwstr>
  </property>
</Properties>
</file>