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企业级路由器/上网行为管理</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企业级路由器/上网行为管理采购项目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企业级路由器/上网行为管理采购项目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cs="Times New Roman"/>
          <w:kern w:val="2"/>
          <w:sz w:val="32"/>
          <w:szCs w:val="32"/>
          <w:lang w:val="en-US" w:eastAsia="zh-CN" w:bidi="ar-SA"/>
        </w:rPr>
        <w:t xml:space="preserve">   项目详情：企业级路由器/上网行为管理1台</w:t>
      </w:r>
    </w:p>
    <w:p>
      <w:pPr>
        <w:pStyle w:val="2"/>
        <w:rPr>
          <w:rFonts w:hint="default" w:eastAsia="黑体"/>
          <w:lang w:val="en-US" w:eastAsia="zh-CN"/>
        </w:rPr>
      </w:pP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项目要求：</w:t>
      </w:r>
      <w:r>
        <w:rPr>
          <w:rFonts w:hint="eastAsia" w:ascii="仿宋_GB2312" w:eastAsia="仿宋_GB2312" w:cs="Times New Roman"/>
          <w:kern w:val="2"/>
          <w:sz w:val="32"/>
          <w:szCs w:val="32"/>
          <w:lang w:val="en-US" w:eastAsia="zh-CN" w:bidi="ar-SA"/>
        </w:rPr>
        <w:t>推荐用户数1000，适用出口宽带400M，吞吐量8.5Gbps，最大并发链接70万，每秒新建链接3.5万，15GE电接口，12GE SFP口，2T硬盘，行为特征库预置5000+应用规则，2000万+URL，1年特征库升级许可</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产品部分</w:t>
            </w:r>
            <w:r>
              <w:rPr>
                <w:rFonts w:hint="eastAsia"/>
                <w:color w:val="auto"/>
              </w:rPr>
              <w:t>：</w:t>
            </w:r>
            <w:r>
              <w:rPr>
                <w:rFonts w:hint="eastAsia"/>
                <w:color w:val="auto"/>
                <w:u w:val="single"/>
              </w:rPr>
              <w:t xml:space="preserve"> </w:t>
            </w:r>
            <w:r>
              <w:rPr>
                <w:rFonts w:hint="eastAsia"/>
                <w:color w:val="auto"/>
                <w:u w:val="single"/>
                <w:lang w:val="en-US" w:eastAsia="zh-CN"/>
              </w:rPr>
              <w:t xml:space="preserve">50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30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50分</w:t>
            </w:r>
            <w:r>
              <w:rPr>
                <w:rFonts w:hint="eastAsia"/>
                <w:color w:val="auto"/>
                <w:lang w:eastAsia="zh-CN"/>
              </w:rPr>
              <w:t>）</w:t>
            </w:r>
          </w:p>
        </w:tc>
        <w:tc>
          <w:tcPr>
            <w:tcW w:w="5380" w:type="dxa"/>
            <w:vAlign w:val="center"/>
          </w:tcPr>
          <w:p>
            <w:pPr>
              <w:jc w:val="both"/>
              <w:rPr>
                <w:rFonts w:hint="default"/>
                <w:color w:val="auto"/>
                <w:lang w:val="en-US" w:eastAsia="zh-CN"/>
              </w:rPr>
            </w:pPr>
            <w:r>
              <w:rPr>
                <w:rFonts w:hint="eastAsia"/>
                <w:color w:val="auto"/>
                <w:lang w:val="en-US" w:eastAsia="zh-CN"/>
              </w:rPr>
              <w:t>根据产品与项目的契合程度在0-50分范围内打分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w:t>
            </w:r>
            <w:r>
              <w:rPr>
                <w:rFonts w:hint="eastAsia"/>
                <w:color w:val="auto"/>
                <w:lang w:val="en-US" w:eastAsia="zh-CN"/>
              </w:rPr>
              <w:t>9</w:t>
            </w:r>
            <w:r>
              <w:rPr>
                <w:rFonts w:hint="eastAsia"/>
                <w:color w:val="auto"/>
              </w:rPr>
              <w:t>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2"/>
        <w:rPr>
          <w:rFonts w:hint="eastAsia"/>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须包含所报产品品牌、型号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产品信息</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包含产品参数偏离表、产品原厂授权书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包含售后维保等信息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258354146"/>
      <w:bookmarkStart w:id="2" w:name="_Toc17030"/>
      <w:bookmarkStart w:id="3" w:name="_Toc320878640"/>
      <w:bookmarkStart w:id="4" w:name="_Toc337475854"/>
      <w:bookmarkStart w:id="5" w:name="_Toc258333636"/>
      <w:bookmarkStart w:id="6" w:name="_Toc337554724"/>
      <w:bookmarkStart w:id="7" w:name="_Toc219626747"/>
      <w:bookmarkStart w:id="8" w:name="_Toc258360158"/>
      <w:bookmarkStart w:id="9" w:name="_Toc9548"/>
      <w:bookmarkStart w:id="10" w:name="_Toc258360269"/>
      <w:bookmarkStart w:id="11" w:name="_Toc261708863"/>
      <w:bookmarkStart w:id="12" w:name="_Toc248896063"/>
      <w:bookmarkStart w:id="13" w:name="_Toc10762"/>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黑体" w:eastAsia="黑体"/>
          <w:color w:val="00000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5193FB8"/>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00187D"/>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D314ED"/>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4F2FF4"/>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BF3065"/>
    <w:rsid w:val="5AD50E25"/>
    <w:rsid w:val="5B736C6D"/>
    <w:rsid w:val="5C0B1608"/>
    <w:rsid w:val="5CEA2A63"/>
    <w:rsid w:val="5D327E39"/>
    <w:rsid w:val="5D4D3632"/>
    <w:rsid w:val="5E89646C"/>
    <w:rsid w:val="5ED90E8F"/>
    <w:rsid w:val="60247155"/>
    <w:rsid w:val="603040BB"/>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822713"/>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0B709E"/>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2976</Words>
  <Characters>3147</Characters>
  <Lines>55</Lines>
  <Paragraphs>15</Paragraphs>
  <TotalTime>18</TotalTime>
  <ScaleCrop>false</ScaleCrop>
  <LinksUpToDate>false</LinksUpToDate>
  <CharactersWithSpaces>3528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2023-01-12T02:20:00Z</cp:lastPrinted>
  <dcterms:modified xsi:type="dcterms:W3CDTF">2023-05-30T01:24:44Z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