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空调系统设备、管网维修保养项目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2023年3月31日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空调系统设备、管网维修保养项目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空调系统设备、管网维修保养项目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hAnsi="Calibri" w:eastAsia="仿宋_GB2312" w:cs="Times New Roman"/>
          <w:kern w:val="2"/>
          <w:sz w:val="32"/>
          <w:szCs w:val="32"/>
          <w:lang w:val="en-US" w:eastAsia="zh-CN" w:bidi="ar-SA"/>
        </w:rPr>
        <w:t>对我院风冷模块机组18台、净化空调机组33台、新风机组54台、精密空调机组6台、多联机11台、中央空调机组特灵品牌CVHG地源热泵离心机3台（</w:t>
      </w:r>
      <w:r>
        <w:rPr>
          <w:rFonts w:hint="eastAsia" w:ascii="仿宋_GB2312" w:hAnsi="Calibri" w:eastAsia="仿宋_GB2312" w:cs="Times New Roman"/>
          <w:kern w:val="2"/>
          <w:sz w:val="32"/>
          <w:szCs w:val="32"/>
          <w:highlight w:val="yellow"/>
          <w:lang w:val="en-US" w:eastAsia="zh-CN" w:bidi="ar-SA"/>
        </w:rPr>
        <w:t>特灵品牌离心机维修保养必须使用原厂配件</w:t>
      </w:r>
      <w:r>
        <w:rPr>
          <w:rFonts w:hint="eastAsia" w:ascii="仿宋_GB2312" w:hAnsi="Calibri" w:eastAsia="仿宋_GB2312" w:cs="Times New Roman"/>
          <w:kern w:val="2"/>
          <w:sz w:val="32"/>
          <w:szCs w:val="32"/>
          <w:lang w:val="en-US" w:eastAsia="zh-CN" w:bidi="ar-SA"/>
        </w:rPr>
        <w:t>），及其相关泵组、管网等提供换季维护保养、应急服务维修、配件维修更换、技术支持等，保证医院空调设备常年的正常工作</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供应商在中国境内注册、具有合法的经营资格，具备承担采购项目的能力</w:t>
      </w:r>
      <w:r>
        <w:rPr>
          <w:rFonts w:hint="eastAsia" w:ascii="仿宋_GB2312" w:hAnsi="Calibri" w:eastAsia="仿宋_GB2312" w:cs="Times New Roman"/>
          <w:kern w:val="2"/>
          <w:sz w:val="32"/>
          <w:szCs w:val="32"/>
          <w:lang w:val="en-US" w:eastAsia="zh-CN" w:bidi="ar-SA"/>
        </w:rPr>
        <w:t>；</w:t>
      </w:r>
    </w:p>
    <w:p>
      <w:pPr>
        <w:ind w:firstLine="640" w:firstLineChars="200"/>
        <w:jc w:val="both"/>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供应商须具备制冷空调设备维修安装A类Ⅰ级、D类Ⅰ级或以上相关专业资质；具有建筑机电安装工程专业承包三级以上资质；具有ISO9001质量管理体系认证证书；</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hint="eastAsia" w:ascii="仿宋_GB2312" w:eastAsia="仿宋_GB2312" w:cs="Times New Roman"/>
          <w:kern w:val="2"/>
          <w:sz w:val="32"/>
          <w:szCs w:val="32"/>
          <w:lang w:val="en-US" w:eastAsia="zh-CN" w:bidi="ar-SA"/>
        </w:rPr>
        <w:t>供应商须具有专业工程师团队（工程师须提供专业制冷与空调作业操作和低压电工证件），具有管道工、通风工等相应的中央空调维修资质，相应技术人员提供本公司社保统筹材料</w:t>
      </w:r>
      <w:r>
        <w:rPr>
          <w:rFonts w:hint="eastAsia" w:ascii="仿宋_GB2312" w:hAnsi="Calibri" w:eastAsia="仿宋_GB2312" w:cs="Times New Roman"/>
          <w:kern w:val="2"/>
          <w:sz w:val="32"/>
          <w:szCs w:val="32"/>
          <w:lang w:val="en-US" w:eastAsia="zh-CN" w:bidi="ar-SA"/>
        </w:rPr>
        <w:t>；</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不得有商业贿赂和不正当欺诈行为。如</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被证实有以上行为，将被视为不合格；</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w:t>
      </w:r>
      <w:r>
        <w:rPr>
          <w:rFonts w:hint="eastAsia" w:ascii="仿宋_GB2312" w:eastAsia="仿宋_GB2312" w:cs="Times New Roman"/>
          <w:kern w:val="2"/>
          <w:sz w:val="32"/>
          <w:szCs w:val="32"/>
          <w:lang w:val="en-US" w:eastAsia="zh-CN" w:bidi="ar-SA"/>
        </w:rPr>
        <w:t>供应商不能是被列入“信用中国”和国家企业信息公示系统严重违法失信企业名单的供应商</w:t>
      </w:r>
      <w:r>
        <w:rPr>
          <w:rFonts w:hint="eastAsia" w:ascii="仿宋_GB2312" w:hAnsi="Calibri" w:eastAsia="仿宋_GB2312" w:cs="Times New Roman"/>
          <w:kern w:val="2"/>
          <w:sz w:val="32"/>
          <w:szCs w:val="32"/>
          <w:lang w:val="en-US" w:eastAsia="zh-CN" w:bidi="ar-SA"/>
        </w:rPr>
        <w:t>；</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t>6、</w:t>
      </w:r>
      <w:r>
        <w:rPr>
          <w:rFonts w:hint="eastAsia" w:ascii="仿宋_GB2312" w:eastAsia="仿宋_GB2312" w:cs="Times New Roman"/>
          <w:kern w:val="2"/>
          <w:sz w:val="32"/>
          <w:szCs w:val="32"/>
          <w:lang w:val="en-US" w:eastAsia="zh-CN" w:bidi="ar-SA"/>
        </w:rPr>
        <w:t>供应商应拥有备品备件库，应急备件及耗材有库存；必要时现场考察备件库的属实性</w:t>
      </w:r>
      <w:r>
        <w:rPr>
          <w:rFonts w:hint="eastAsia" w:ascii="仿宋_GB2312" w:hAnsi="Calibri"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bookmarkStart w:id="17" w:name="_GoBack"/>
      <w:bookmarkEnd w:id="17"/>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jc w:val="left"/>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pPr>
        <w:keepNext w:val="0"/>
        <w:keepLines w:val="0"/>
        <w:pageBreakBefore w:val="0"/>
        <w:numPr>
          <w:ilvl w:val="0"/>
          <w:numId w:val="0"/>
        </w:numPr>
        <w:kinsoku/>
        <w:wordWrap/>
        <w:overflowPunct/>
        <w:topLinePunct w:val="0"/>
        <w:autoSpaceDE/>
        <w:autoSpaceDN/>
        <w:bidi w:val="0"/>
        <w:snapToGrid/>
        <w:spacing w:line="560" w:lineRule="exact"/>
        <w:jc w:val="left"/>
        <w:textAlignment w:val="auto"/>
        <w:outlineLvl w:val="9"/>
        <w:rPr>
          <w:rFonts w:hint="eastAsia" w:ascii="仿宋_GB2312" w:eastAsia="仿宋_GB2312"/>
          <w:color w:val="FF0000"/>
          <w:sz w:val="32"/>
          <w:szCs w:val="32"/>
          <w:lang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r>
        <w:rPr>
          <w:rFonts w:hint="eastAsia" w:ascii="仿宋_GB2312" w:eastAsia="仿宋_GB2312" w:cs="Times New Roman"/>
          <w:color w:val="FF0000"/>
          <w:sz w:val="32"/>
          <w:szCs w:val="32"/>
          <w:highlight w:val="yellow"/>
          <w:lang w:eastAsia="zh-CN"/>
        </w:rPr>
        <w:t>制冷空调维修安装资质复印件。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40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实施方案</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 xml:space="preserve"> 3</w:t>
            </w:r>
            <w:r>
              <w:rPr>
                <w:rFonts w:hint="eastAsia" w:ascii="宋体" w:hAnsi="宋体" w:cs="宋体"/>
                <w:color w:val="000000" w:themeColor="text1"/>
                <w:szCs w:val="21"/>
                <w:highlight w:val="yellow"/>
                <w:u w:val="single"/>
                <w:lang w:val="en-US" w:eastAsia="zh-CN"/>
                <w14:textFill>
                  <w14:solidFill>
                    <w14:schemeClr w14:val="tx1"/>
                  </w14:solidFill>
                </w14:textFill>
              </w:rPr>
              <w:t>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10</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40</w:t>
            </w:r>
            <w:r>
              <w:rPr>
                <w:rFonts w:hint="eastAsia" w:ascii="宋体" w:hAnsi="宋体" w:cs="宋体"/>
                <w:color w:val="000000" w:themeColor="text1"/>
                <w:szCs w:val="21"/>
                <w:highlight w:val="yellow"/>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40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项目实施方案</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color w:val="auto"/>
                <w:lang w:val="en-US" w:eastAsia="zh-CN"/>
              </w:rPr>
              <w:t>根据项目实施方案在0-30分范围内进行打分。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5</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eastAsia="zh-CN"/>
                <w14:textFill>
                  <w14:solidFill>
                    <w14:schemeClr w14:val="tx1"/>
                  </w14:solidFill>
                </w14:textFill>
              </w:rPr>
              <w:t>根据</w:t>
            </w:r>
            <w:r>
              <w:rPr>
                <w:rFonts w:hint="eastAsia" w:ascii="宋体" w:hAnsi="宋体" w:cs="宋体"/>
                <w:color w:val="000000" w:themeColor="text1"/>
                <w:kern w:val="0"/>
                <w:szCs w:val="21"/>
                <w:highlight w:val="yellow"/>
                <w14:textFill>
                  <w14:solidFill>
                    <w14:schemeClr w14:val="tx1"/>
                  </w14:solidFill>
                </w14:textFill>
              </w:rPr>
              <w:t>人员、设备等方面具有相应较强的供应、和售后服务能力</w:t>
            </w:r>
            <w:r>
              <w:rPr>
                <w:rFonts w:hint="eastAsia" w:ascii="宋体" w:hAnsi="宋体" w:cs="宋体"/>
                <w:color w:val="000000" w:themeColor="text1"/>
                <w:kern w:val="0"/>
                <w:szCs w:val="21"/>
                <w:highlight w:val="yellow"/>
                <w:lang w:eastAsia="zh-CN"/>
                <w14:textFill>
                  <w14:solidFill>
                    <w14:schemeClr w14:val="tx1"/>
                  </w14:solidFill>
                </w14:textFill>
              </w:rPr>
              <w:t>等在</w:t>
            </w:r>
            <w:r>
              <w:rPr>
                <w:rFonts w:hint="eastAsia" w:ascii="宋体" w:hAnsi="宋体" w:cs="宋体"/>
                <w:color w:val="000000" w:themeColor="text1"/>
                <w:kern w:val="0"/>
                <w:szCs w:val="21"/>
                <w:highlight w:val="yellow"/>
                <w:lang w:val="en-US" w:eastAsia="zh-CN"/>
                <w14:textFill>
                  <w14:solidFill>
                    <w14:schemeClr w14:val="tx1"/>
                  </w14:solidFill>
                </w14:textFill>
              </w:rPr>
              <w:t>0-5分范围内打分</w:t>
            </w:r>
            <w:r>
              <w:rPr>
                <w:rFonts w:hint="eastAsia" w:ascii="宋体" w:hAnsi="宋体" w:cs="宋体"/>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1.具有201</w:t>
            </w: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20分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根据配件的折扣力度在0-5分范围内进行打分</w:t>
            </w:r>
          </w:p>
          <w:p>
            <w:pPr>
              <w:pStyle w:val="2"/>
              <w:numPr>
                <w:ilvl w:val="0"/>
                <w:numId w:val="8"/>
              </w:numPr>
              <w:rPr>
                <w:rFonts w:hint="eastAsia"/>
                <w:highlight w:val="yellow"/>
                <w:lang w:val="en-US" w:eastAsia="zh-CN"/>
              </w:rPr>
            </w:pPr>
            <w:r>
              <w:rPr>
                <w:rFonts w:hint="eastAsia"/>
                <w:highlight w:val="yellow"/>
                <w:lang w:val="en-US" w:eastAsia="zh-CN"/>
              </w:rPr>
              <w:t>根据服务的响应速度在0-8分范围内进行打分</w:t>
            </w:r>
          </w:p>
          <w:p>
            <w:pPr>
              <w:pStyle w:val="2"/>
              <w:numPr>
                <w:ilvl w:val="0"/>
                <w:numId w:val="8"/>
              </w:numPr>
              <w:rPr>
                <w:rFonts w:hint="eastAsia"/>
                <w:highlight w:val="yellow"/>
                <w:lang w:val="en-US" w:eastAsia="zh-CN"/>
              </w:rPr>
            </w:pPr>
            <w:r>
              <w:rPr>
                <w:rFonts w:hint="eastAsia"/>
                <w:highlight w:val="yellow"/>
                <w:lang w:val="en-US" w:eastAsia="zh-CN"/>
              </w:rPr>
              <w:t>根据其他优惠条件在0-7分范围内打分</w:t>
            </w:r>
          </w:p>
        </w:tc>
      </w:tr>
    </w:tbl>
    <w:p>
      <w:pPr>
        <w:pStyle w:val="2"/>
        <w:rPr>
          <w:rFonts w:hint="eastAsia"/>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u w:val="none"/>
          <w:lang w:eastAsia="zh-CN"/>
        </w:rPr>
        <w:t>维护保养合同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采购方：（甲方）：新郑市公立人民医院</w:t>
      </w:r>
      <w:r>
        <w:rPr>
          <w:rFonts w:hint="eastAsia" w:ascii="仿宋_GB2312" w:hAnsi="仿宋_GB2312" w:eastAsia="仿宋_GB2312" w:cs="仿宋_GB2312"/>
          <w:b/>
          <w:sz w:val="24"/>
          <w:lang w:val="en-US" w:eastAsia="zh-CN"/>
        </w:rPr>
        <w:t xml:space="preserve">    服务方：（乙方）：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地址：</w:t>
      </w:r>
      <w:r>
        <w:rPr>
          <w:rFonts w:hint="eastAsia" w:ascii="仿宋_GB2312" w:hAnsi="仿宋_GB2312" w:eastAsia="仿宋_GB2312" w:cs="仿宋_GB2312"/>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 xml:space="preserve">联系电话：0371-69952699               联系电话：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根据《民法典》以及相关法律法规的规定，经甲、乙双方协商，就甲方采购乙方中央空调主机及附属设备维护保养服务事宜，双方自愿签订如下合同。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第一条 服务发生所在地及价格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维护保养服务发生所在地位新郑市公立人民医院院区中央空调主机机房；维护保养服务费用为</w:t>
      </w:r>
      <w:r>
        <w:rPr>
          <w:rFonts w:hint="eastAsia" w:ascii="仿宋_GB2312" w:hAnsi="仿宋_GB2312" w:eastAsia="仿宋_GB2312" w:cs="仿宋_GB2312"/>
          <w:sz w:val="24"/>
          <w:u w:val="single"/>
          <w:lang w:val="en-US" w:eastAsia="zh-CN"/>
        </w:rPr>
        <w:t xml:space="preserve">         元/年</w:t>
      </w:r>
      <w:r>
        <w:rPr>
          <w:rFonts w:hint="eastAsia" w:ascii="仿宋_GB2312" w:hAnsi="仿宋_GB2312" w:eastAsia="仿宋_GB2312" w:cs="仿宋_GB2312"/>
          <w:sz w:val="24"/>
          <w:lang w:val="en-US" w:eastAsia="zh-CN"/>
        </w:rPr>
        <w:t>。</w:t>
      </w:r>
    </w:p>
    <w:p>
      <w:pPr>
        <w:keepNext w:val="0"/>
        <w:keepLines w:val="0"/>
        <w:pageBreakBefore w:val="0"/>
        <w:numPr>
          <w:ilvl w:val="0"/>
          <w:numId w:val="9"/>
        </w:numPr>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维护保养服务内容</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维保范围：风冷模块机组18台、净化空调机组33台、新风机组54台、精密空调机组6台、多联机11台、中央空调地源热泵离心机3台，冷冻水系统维护、风系统维护等空调系统。</w:t>
      </w:r>
    </w:p>
    <w:p>
      <w:pPr>
        <w:pStyle w:val="6"/>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维保要求：提供空调的换季维护保养、应急服务维修、配件维修更换、技术支持。保证医院设备常年的正常工作。</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特灵机组年度换季保养2次，运行季每月2次常规保养（制冷季5月20日至9月20日，制热季11月15日至次年3月15日）；定期更换压缩机冷冻油，油过滤器，冷媒干燥过滤器；不含末端风机盘管维护、不含水系统除垢处理。</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(2)28台雅士品牌净化空调机组年度维护保养，根据室内洁净度情况及时更换过滤网。换季对主机进行维护，电控柜除尘检查电路。冬季对加湿器水垢至少清洗一次。</w:t>
      </w:r>
    </w:p>
    <w:p>
      <w:pPr>
        <w:spacing w:line="360" w:lineRule="auto"/>
        <w:ind w:left="559" w:leftChars="266"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(3)54台新风机组主机换季进行维护，定期更换过滤网。</w:t>
      </w:r>
    </w:p>
    <w:p>
      <w:pPr>
        <w:spacing w:line="360" w:lineRule="auto"/>
        <w:ind w:left="559" w:leftChars="266"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(4)3台克莱门特精密空调、3台华为精密空调机组维护保养；</w:t>
      </w:r>
    </w:p>
    <w:p>
      <w:pPr>
        <w:spacing w:line="360" w:lineRule="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含定期更换过滤网，清洗加湿罐，更换风机皮带，清洗室外机；</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(5)11组富士通多联机组空调系统进行维护保养，定期冲洗室外机；</w:t>
      </w:r>
    </w:p>
    <w:p>
      <w:pPr>
        <w:spacing w:line="360" w:lineRule="auto"/>
        <w:ind w:firstLine="480" w:firstLineChars="200"/>
        <w:rPr>
          <w:rFonts w:hint="default"/>
          <w:sz w:val="24"/>
          <w:szCs w:val="24"/>
          <w:lang w:val="en-US" w:eastAsia="zh-CN"/>
        </w:rPr>
      </w:pPr>
      <w:r>
        <w:rPr>
          <w:rFonts w:hint="eastAsia" w:ascii="仿宋_GB2312" w:hAnsi="仿宋_GB2312" w:eastAsia="仿宋_GB2312" w:cs="仿宋_GB2312"/>
          <w:b w:val="0"/>
          <w:bCs/>
          <w:sz w:val="24"/>
          <w:szCs w:val="24"/>
          <w:lang w:val="en-US" w:eastAsia="zh-CN"/>
        </w:rPr>
        <w:t>(6）18台风冷模块机主机维护，清洗室外机，电控柜除尘检查电路。不含末端维护保养。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第三条 服务周期</w:t>
      </w:r>
    </w:p>
    <w:p>
      <w:pPr>
        <w:pStyle w:val="2"/>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bCs/>
          <w:sz w:val="24"/>
          <w:highlight w:val="none"/>
          <w:lang w:val="en-US" w:eastAsia="zh-CN"/>
        </w:rPr>
        <w:t xml:space="preserve">   </w:t>
      </w:r>
      <w:r>
        <w:rPr>
          <w:rFonts w:hint="eastAsia" w:ascii="仿宋_GB2312" w:hAnsi="仿宋_GB2312" w:eastAsia="仿宋_GB2312" w:cs="仿宋_GB2312"/>
          <w:b w:val="0"/>
          <w:bCs w:val="0"/>
          <w:sz w:val="24"/>
          <w:highlight w:val="none"/>
          <w:lang w:val="en-US" w:eastAsia="zh-CN"/>
        </w:rPr>
        <w:t xml:space="preserve"> 自合同签订之日起生效，合同期限为1年。</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b/>
          <w:bCs/>
          <w:sz w:val="24"/>
          <w:highlight w:val="none"/>
          <w:lang w:val="en-US" w:eastAsia="zh-CN"/>
        </w:rPr>
        <w:t>第四条 验收标准及方式</w:t>
      </w:r>
      <w:r>
        <w:rPr>
          <w:rFonts w:hint="eastAsia" w:ascii="仿宋_GB2312" w:hAnsi="仿宋_GB2312" w:eastAsia="仿宋_GB2312" w:cs="仿宋_GB2312"/>
          <w:sz w:val="24"/>
          <w:highlight w:val="none"/>
          <w:lang w:val="en-US" w:eastAsia="zh-CN"/>
        </w:rPr>
        <w:t xml:space="preserve"> </w:t>
      </w:r>
    </w:p>
    <w:p>
      <w:pPr>
        <w:rPr>
          <w:rFonts w:hint="eastAsia" w:ascii="仿宋_GB2312" w:hAnsi="仿宋_GB2312" w:eastAsia="仿宋_GB2312" w:cs="仿宋_GB2312"/>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ind w:firstLine="48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4"/>
          <w:highlight w:val="none"/>
          <w:lang w:val="en-US" w:eastAsia="zh-CN"/>
        </w:rPr>
        <w:t>每次保养完毕后，乙方自检后请示甲方进行工程验收。</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1.因空调维保中标单位驻场人员脱岗（接报故障30分钟内未到达现场视为人员脱岗）影响院内正常工作开展，责任由维保单位承担，且单次考核200元。</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2.因空调维保不到位、不及时造成空调故障或维修成本提高的，责任事故由维保单位承担，且单次考核200元。</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3.遵守医院的管理规定，贯彻医院的“病人的需要是第一位的”服务理念。因服务态度及工作方式等遭投诉的需提交书面整改报告，三次以上类似投诉的单次考核50元进行累计罚款。</w:t>
      </w:r>
    </w:p>
    <w:p>
      <w:pPr>
        <w:spacing w:after="60"/>
        <w:rPr>
          <w:rFonts w:hint="eastAsia" w:ascii="仿宋_GB2312" w:hAnsi="仿宋_GB2312" w:eastAsia="仿宋_GB2312" w:cs="仿宋_GB2312"/>
          <w:sz w:val="24"/>
          <w:szCs w:val="24"/>
        </w:rPr>
      </w:pPr>
    </w:p>
    <w:p>
      <w:pPr>
        <w:spacing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上述合同总价包括合同第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条所述工作内容及上表所列的保养所需基本配件和消耗品：</w:t>
      </w:r>
    </w:p>
    <w:p>
      <w:pPr>
        <w:spacing w:after="60"/>
        <w:rPr>
          <w:rFonts w:hint="eastAsia" w:ascii="仿宋_GB2312" w:hAnsi="仿宋_GB2312" w:eastAsia="仿宋_GB2312" w:cs="仿宋_GB2312"/>
          <w:sz w:val="24"/>
          <w:szCs w:val="24"/>
        </w:rPr>
      </w:pPr>
    </w:p>
    <w:p>
      <w:pPr>
        <w:spacing w:after="60"/>
        <w:ind w:left="126" w:leftChars="6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但合同总价</w:t>
      </w:r>
      <w:r>
        <w:rPr>
          <w:rFonts w:hint="eastAsia" w:ascii="仿宋_GB2312" w:hAnsi="仿宋_GB2312" w:eastAsia="仿宋_GB2312" w:cs="仿宋_GB2312"/>
          <w:b/>
          <w:sz w:val="24"/>
          <w:szCs w:val="24"/>
        </w:rPr>
        <w:t>不包括</w:t>
      </w:r>
      <w:r>
        <w:rPr>
          <w:rFonts w:hint="eastAsia" w:ascii="仿宋_GB2312" w:hAnsi="仿宋_GB2312" w:eastAsia="仿宋_GB2312" w:cs="仿宋_GB2312"/>
          <w:sz w:val="24"/>
          <w:szCs w:val="24"/>
        </w:rPr>
        <w:t>提供以下内容：</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除上表所列的保养所需基本配件和消耗品之外的其他配件及物料（配件及物料由甲方提供或由乙方报价另行收费）。</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除本合同第</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条及附件所述之外的服务工作。</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机组以外的设备故障排除服务工作。</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由于外部因素引起的故障或损坏的故障排除服务工作（如水管破裂、地震或其它人力不可抗拒的事故） </w:t>
      </w:r>
    </w:p>
    <w:p>
      <w:pPr>
        <w:widowControl/>
        <w:numPr>
          <w:ilvl w:val="0"/>
          <w:numId w:val="11"/>
        </w:numPr>
        <w:autoSpaceDE w:val="0"/>
        <w:autoSpaceDN w:val="0"/>
        <w:ind w:left="647" w:leftChars="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widowControl/>
        <w:numPr>
          <w:ilvl w:val="0"/>
          <w:numId w:val="12"/>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本合同签订后[ 30]天，甲方支付合同总价的50%，即人民币</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(RMB</w:t>
      </w:r>
      <w:r>
        <w:rPr>
          <w:rFonts w:hint="eastAsia" w:ascii="仿宋_GB2312" w:hAnsi="仿宋_GB2312" w:eastAsia="仿宋_GB2312" w:cs="仿宋_GB2312"/>
          <w:sz w:val="24"/>
          <w:szCs w:val="24"/>
          <w:u w:val="none"/>
        </w:rPr>
        <w:sym w:font="Courier New" w:char="00A5"/>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给乙方。</w:t>
      </w:r>
    </w:p>
    <w:p>
      <w:pPr>
        <w:widowControl/>
        <w:numPr>
          <w:ilvl w:val="0"/>
          <w:numId w:val="12"/>
        </w:numPr>
        <w:autoSpaceDE w:val="0"/>
        <w:autoSpaceDN w:val="0"/>
        <w:spacing w:after="6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合同结束后，应向甲方</w:t>
      </w:r>
      <w:r>
        <w:rPr>
          <w:rFonts w:hint="eastAsia" w:ascii="仿宋_GB2312" w:hAnsi="仿宋_GB2312" w:eastAsia="仿宋_GB2312" w:cs="仿宋_GB2312"/>
          <w:sz w:val="24"/>
          <w:szCs w:val="24"/>
          <w:lang w:eastAsia="zh-CN"/>
        </w:rPr>
        <w:t>提供相应的增值税发票</w:t>
      </w:r>
      <w:r>
        <w:rPr>
          <w:rFonts w:hint="eastAsia" w:ascii="仿宋_GB2312" w:hAnsi="仿宋_GB2312" w:eastAsia="仿宋_GB2312" w:cs="仿宋_GB2312"/>
          <w:sz w:val="24"/>
          <w:szCs w:val="24"/>
        </w:rPr>
        <w:t>，甲方收到乙方</w:t>
      </w:r>
      <w:r>
        <w:rPr>
          <w:rFonts w:hint="eastAsia" w:ascii="仿宋_GB2312" w:hAnsi="仿宋_GB2312" w:eastAsia="仿宋_GB2312" w:cs="仿宋_GB2312"/>
          <w:sz w:val="24"/>
          <w:szCs w:val="24"/>
          <w:lang w:eastAsia="zh-CN"/>
        </w:rPr>
        <w:t>提供的发票</w:t>
      </w:r>
      <w:r>
        <w:rPr>
          <w:rFonts w:hint="eastAsia" w:ascii="仿宋_GB2312" w:hAnsi="仿宋_GB2312" w:eastAsia="仿宋_GB2312" w:cs="仿宋_GB2312"/>
          <w:sz w:val="24"/>
          <w:szCs w:val="24"/>
        </w:rPr>
        <w:t>后[ 15]日内应向乙方支付剩余50%的款项。</w:t>
      </w:r>
    </w:p>
    <w:p>
      <w:pPr>
        <w:widowControl/>
        <w:numPr>
          <w:ilvl w:val="0"/>
          <w:numId w:val="12"/>
        </w:numPr>
        <w:autoSpaceDE w:val="0"/>
        <w:autoSpaceDN w:val="0"/>
        <w:spacing w:after="60" w:line="360" w:lineRule="auto"/>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乙方收款帐号：</w:t>
      </w:r>
      <w:r>
        <w:rPr>
          <w:rFonts w:hint="eastAsia" w:ascii="仿宋_GB2312" w:hAnsi="仿宋_GB2312" w:eastAsia="仿宋_GB2312" w:cs="仿宋_GB2312"/>
          <w:sz w:val="24"/>
          <w:szCs w:val="24"/>
          <w:lang w:val="en-US" w:eastAsia="zh-CN"/>
        </w:rPr>
        <w:t xml:space="preserve">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widowControl/>
        <w:numPr>
          <w:ilvl w:val="0"/>
          <w:numId w:val="12"/>
        </w:numPr>
        <w:autoSpaceDE w:val="0"/>
        <w:autoSpaceDN w:val="0"/>
        <w:spacing w:after="60"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发票</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乙方提供甲方增值税普通发票。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bookmarkStart w:id="0" w:name="Check2"/>
    </w:p>
    <w:bookmarkEnd w:id="0"/>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如甲方需要乙方提供增值税发票，甲方需要提供乙方以下资料：</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公司名称：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公司地址：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开户银行：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税   号： </w:t>
      </w:r>
    </w:p>
    <w:p>
      <w:pPr>
        <w:spacing w:after="60"/>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第五条 甲方责任与权利</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合同签订前，甲方各空调设备应处良好及正常状况，并提供设备说明书及调试报告给乙方；</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甲方按合同规定按时支付保养款项</w:t>
      </w:r>
      <w:r>
        <w:rPr>
          <w:rFonts w:hint="eastAsia" w:ascii="仿宋_GB2312" w:hAnsi="仿宋_GB2312" w:eastAsia="仿宋_GB2312" w:cs="仿宋_GB2312"/>
          <w:sz w:val="24"/>
          <w:szCs w:val="24"/>
          <w:lang w:eastAsia="zh-CN"/>
        </w:rPr>
        <w:t>。</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合同期内，未经乙方许可，甲方不得擅自修理及拆卸设备元件等；</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若乙方未能按冷冻机年检检查项目细则要求进行保养工作，甲方保留提前解除合同的权利。</w:t>
      </w:r>
    </w:p>
    <w:p>
      <w:pPr>
        <w:widowControl/>
        <w:numPr>
          <w:ilvl w:val="0"/>
          <w:numId w:val="13"/>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因甲方原因导致乙方无法按照本合同第3条所述完成全部工作内容的，双方应合同期限续延或变更相关事宜进行协商并另行达成本合同的书面补充协议。如本合同期限到期后，因甲方原因双方未能达成上述补充协议的，乙方有权停止本合同下的工作内容或者单方面终止本合同。对于合同终止前乙方已经提供的服务，甲方仍应根据本合同向乙方支付相应款项。</w:t>
      </w:r>
    </w:p>
    <w:p>
      <w:pPr>
        <w:widowControl/>
        <w:numPr>
          <w:ilvl w:val="0"/>
          <w:numId w:val="13"/>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完成每次服务后，甲方应在本合同附录一的工作单上盖章或指定其相关人员签字，以确认乙方已完成该次服务内容。甲方指定以下人员代表其签署与本合同工作内容的工作单，并应尽量确保由下述人员签署乙方工作单。</w:t>
      </w:r>
    </w:p>
    <w:p>
      <w:pPr>
        <w:widowControl/>
        <w:autoSpaceDE w:val="0"/>
        <w:autoSpaceDN w:val="0"/>
        <w:ind w:left="36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第六条 乙方责任与权利</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甲方未按合同规定支付相关款项，乙方有权中止合同并停止提供服务，直至款项付清为止；若甲方逾期付款超过三十（30）天以上的，乙方有权单方面解除合同。本条款以上规定不影响、也不减损本合同以及相关法律赋予乙方的任何其他权利、救济。</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良好的技术人员和工具仪器，最佳的服务质量和态度，严格按照特灵机组的保养标准做好维护保养工作，并认真填写运行报告，使设备处于良好运行状态由于乙方技术人员操作不当引起的故障或损坏，由乙方负责排除故障；</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乙方技术人员工作期间，需佩戴工作证，在空调设备出现故障时，应提出书面解决方案供甲方参考；</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每次保养结束后，乙方将向甲方提供检查报告及故障隐患清除之建议；</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定期保养时间应提前</w:t>
      </w:r>
      <w:bookmarkStart w:id="1" w:name="Text1"/>
      <w:r>
        <w:rPr>
          <w:rFonts w:hint="eastAsia" w:ascii="仿宋_GB2312" w:hAnsi="仿宋_GB2312" w:eastAsia="仿宋_GB2312" w:cs="仿宋_GB2312"/>
          <w:sz w:val="24"/>
          <w:szCs w:val="24"/>
        </w:rPr>
        <w:fldChar w:fldCharType="begin">
          <w:ffData>
            <w:name w:val="Text1"/>
            <w:enabled/>
            <w:calcOnExit w:val="0"/>
            <w:textInput>
              <w:default w:val="一周"/>
            </w:textInput>
          </w:ffData>
        </w:fldChar>
      </w:r>
      <w:r>
        <w:rPr>
          <w:rFonts w:hint="eastAsia" w:ascii="仿宋_GB2312" w:hAnsi="仿宋_GB2312" w:eastAsia="仿宋_GB2312" w:cs="仿宋_GB2312"/>
          <w:sz w:val="24"/>
          <w:szCs w:val="24"/>
        </w:rPr>
        <w:instrText xml:space="preserve"> FORMTEXT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一周</w:t>
      </w:r>
      <w:r>
        <w:rPr>
          <w:rFonts w:hint="eastAsia" w:ascii="仿宋_GB2312" w:hAnsi="仿宋_GB2312" w:eastAsia="仿宋_GB2312" w:cs="仿宋_GB2312"/>
          <w:sz w:val="24"/>
          <w:szCs w:val="24"/>
        </w:rPr>
        <w:fldChar w:fldCharType="end"/>
      </w:r>
      <w:bookmarkEnd w:id="1"/>
      <w:r>
        <w:rPr>
          <w:rFonts w:hint="eastAsia" w:ascii="仿宋_GB2312" w:hAnsi="仿宋_GB2312" w:eastAsia="仿宋_GB2312" w:cs="仿宋_GB2312"/>
          <w:sz w:val="24"/>
          <w:szCs w:val="24"/>
        </w:rPr>
        <w:t>通知甲方，以便甲方提前安排，不致影响正常的生产；</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乙方负责提供备件供应商清单以便甲方购买，或由乙方提供配件（费用另行报价）；</w:t>
      </w:r>
    </w:p>
    <w:p>
      <w:pPr>
        <w:widowControl/>
        <w:autoSpaceDE w:val="0"/>
        <w:autoSpaceDN w:val="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第七条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第八条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第九条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甲方（盖章）                                    乙方（盖章）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签约代表                                        签约代表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                               年    月      日 </w:t>
      </w:r>
    </w:p>
    <w:p>
      <w:pPr>
        <w:pStyle w:val="2"/>
        <w:rPr>
          <w:rFonts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both"/>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格式见附件2（不得缺项空项，且必须有总价）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、专业资质文件、人员资质文件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维保方案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包含具体维修保养次数、维保内容等方面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包含响应速度、免费配件清单、驻场人员及其他优惠条件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2" w:name="_Toc17030"/>
      <w:bookmarkStart w:id="3" w:name="_Toc258333636"/>
      <w:bookmarkStart w:id="4" w:name="_Toc15313"/>
      <w:bookmarkStart w:id="5" w:name="_Toc10762"/>
      <w:bookmarkStart w:id="6" w:name="_Toc258354146"/>
      <w:bookmarkStart w:id="7" w:name="_Toc320878640"/>
      <w:bookmarkStart w:id="8" w:name="_Toc304219257"/>
      <w:bookmarkStart w:id="9" w:name="_Toc248896063"/>
      <w:bookmarkStart w:id="10" w:name="_Toc337554724"/>
      <w:bookmarkStart w:id="11" w:name="_Toc258360158"/>
      <w:bookmarkStart w:id="12" w:name="_Toc337475854"/>
      <w:bookmarkStart w:id="13" w:name="_Toc219626747"/>
      <w:bookmarkStart w:id="14" w:name="_Toc261708863"/>
      <w:bookmarkStart w:id="15" w:name="_Toc258360269"/>
      <w:bookmarkStart w:id="16"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pPr>
    </w:p>
    <w:p>
      <w:pPr>
        <w:pStyle w:val="2"/>
        <w:rPr>
          <w:rFonts w:ascii="黑体" w:eastAsia="黑体"/>
          <w:color w:val="000000"/>
          <w:sz w:val="32"/>
          <w:szCs w:val="32"/>
        </w:rPr>
      </w:pPr>
    </w:p>
    <w:p>
      <w:pPr>
        <w:pStyle w:val="2"/>
        <w:jc w:val="center"/>
        <w:rPr>
          <w:rFonts w:hint="eastAsia" w:ascii="黑体" w:eastAsia="黑体"/>
          <w:color w:val="000000"/>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eastAsia="zh-CN"/>
        </w:rPr>
        <w:t>格式自拟</w:t>
      </w: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398084C"/>
    <w:multiLevelType w:val="singleLevel"/>
    <w:tmpl w:val="E398084C"/>
    <w:lvl w:ilvl="0" w:tentative="0">
      <w:start w:val="2"/>
      <w:numFmt w:val="chineseCounting"/>
      <w:suff w:val="space"/>
      <w:lvlText w:val="第%1条"/>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071609E5"/>
    <w:multiLevelType w:val="multilevel"/>
    <w:tmpl w:val="071609E5"/>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EEA0845"/>
    <w:multiLevelType w:val="multilevel"/>
    <w:tmpl w:val="2EEA0845"/>
    <w:lvl w:ilvl="0" w:tentative="0">
      <w:start w:val="1"/>
      <w:numFmt w:val="decimal"/>
      <w:lvlText w:val="%1．"/>
      <w:lvlJc w:val="left"/>
      <w:pPr>
        <w:tabs>
          <w:tab w:val="left" w:pos="360"/>
        </w:tabs>
        <w:ind w:left="647" w:hanging="227"/>
      </w:pPr>
      <w:rPr>
        <w:rFonts w:hint="default"/>
      </w:rPr>
    </w:lvl>
    <w:lvl w:ilvl="1" w:tentative="0">
      <w:start w:val="2"/>
      <w:numFmt w:val="upperLetter"/>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636DBDA"/>
    <w:multiLevelType w:val="singleLevel"/>
    <w:tmpl w:val="3636DBDA"/>
    <w:lvl w:ilvl="0" w:tentative="0">
      <w:start w:val="1"/>
      <w:numFmt w:val="chineseCounting"/>
      <w:suff w:val="space"/>
      <w:lvlText w:val="第%1章"/>
      <w:lvlJc w:val="left"/>
      <w:rPr>
        <w:rFonts w:hint="eastAsia"/>
      </w:rPr>
    </w:lvl>
  </w:abstractNum>
  <w:abstractNum w:abstractNumId="9">
    <w:nsid w:val="55DFCF8B"/>
    <w:multiLevelType w:val="singleLevel"/>
    <w:tmpl w:val="55DFCF8B"/>
    <w:lvl w:ilvl="0" w:tentative="0">
      <w:start w:val="1"/>
      <w:numFmt w:val="decimal"/>
      <w:lvlText w:val="%1."/>
      <w:lvlJc w:val="left"/>
      <w:pPr>
        <w:tabs>
          <w:tab w:val="left" w:pos="312"/>
        </w:tabs>
      </w:pPr>
    </w:lvl>
  </w:abstractNum>
  <w:abstractNum w:abstractNumId="10">
    <w:nsid w:val="65203ED3"/>
    <w:multiLevelType w:val="multilevel"/>
    <w:tmpl w:val="65203ED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3A6AF7"/>
    <w:multiLevelType w:val="multilevel"/>
    <w:tmpl w:val="6B3A6AF7"/>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13">
    <w:nsid w:val="6D786D30"/>
    <w:multiLevelType w:val="singleLevel"/>
    <w:tmpl w:val="6D786D30"/>
    <w:lvl w:ilvl="0" w:tentative="0">
      <w:start w:val="1"/>
      <w:numFmt w:val="bullet"/>
      <w:lvlText w:val=""/>
      <w:lvlJc w:val="left"/>
      <w:pPr>
        <w:tabs>
          <w:tab w:val="left" w:pos="360"/>
        </w:tabs>
        <w:ind w:left="360" w:hanging="360"/>
      </w:pPr>
      <w:rPr>
        <w:rFonts w:hint="default" w:ascii="Symbol" w:hAnsi="Symbol" w:cs="Times New Roman"/>
      </w:rPr>
    </w:lvl>
  </w:abstractNum>
  <w:num w:numId="1">
    <w:abstractNumId w:val="8"/>
  </w:num>
  <w:num w:numId="2">
    <w:abstractNumId w:val="12"/>
  </w:num>
  <w:num w:numId="3">
    <w:abstractNumId w:val="3"/>
  </w:num>
  <w:num w:numId="4">
    <w:abstractNumId w:val="2"/>
  </w:num>
  <w:num w:numId="5">
    <w:abstractNumId w:val="0"/>
  </w:num>
  <w:num w:numId="6">
    <w:abstractNumId w:val="1"/>
  </w:num>
  <w:num w:numId="7">
    <w:abstractNumId w:val="5"/>
  </w:num>
  <w:num w:numId="8">
    <w:abstractNumId w:val="9"/>
  </w:num>
  <w:num w:numId="9">
    <w:abstractNumId w:val="4"/>
  </w:num>
  <w:num w:numId="10">
    <w:abstractNumId w:val="13"/>
  </w:num>
  <w:num w:numId="11">
    <w:abstractNumId w:val="7"/>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5524FB"/>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317386"/>
    <w:rsid w:val="0F54445A"/>
    <w:rsid w:val="111B0067"/>
    <w:rsid w:val="114C35D9"/>
    <w:rsid w:val="11953DFF"/>
    <w:rsid w:val="11C31BE9"/>
    <w:rsid w:val="12A11F66"/>
    <w:rsid w:val="13C5199E"/>
    <w:rsid w:val="1440292F"/>
    <w:rsid w:val="14682D8B"/>
    <w:rsid w:val="15637069"/>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2C571AC"/>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597222"/>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041E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89646C"/>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5616</Words>
  <Characters>5830</Characters>
  <Lines>55</Lines>
  <Paragraphs>15</Paragraphs>
  <TotalTime>66</TotalTime>
  <ScaleCrop>false</ScaleCrop>
  <LinksUpToDate>false</LinksUpToDate>
  <CharactersWithSpaces>6513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2023-04-03T02:35:37Z</cp:lastPrinted>
  <dcterms:modified xsi:type="dcterms:W3CDTF">2023-04-03T02:35:44Z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493DB46D37854FBB97BA6C655364FCA7</vt:lpwstr>
  </property>
</Properties>
</file>