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手术动力装置采购项目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bookmarkStart w:id="15" w:name="_GoBack"/>
      <w:bookmarkEnd w:id="15"/>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2023年3月31日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手术动力装置采购项目项目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手术动力装置采购项目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eastAsia="仿宋_GB2312" w:cs="Times New Roman"/>
          <w:kern w:val="2"/>
          <w:sz w:val="32"/>
          <w:szCs w:val="32"/>
          <w:lang w:val="en-US" w:eastAsia="zh-CN" w:bidi="ar-SA"/>
        </w:rPr>
        <w:t>手术动力装置一套，详细参数见附件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以最低报价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kern w:val="0"/>
                <w:sz w:val="21"/>
                <w:szCs w:val="21"/>
                <w:lang w:val="en-GB"/>
              </w:rPr>
              <w:t>全部</w:t>
            </w:r>
            <w:r>
              <w:rPr>
                <w:rFonts w:hint="eastAsia" w:ascii="宋体" w:hAnsi="宋体" w:eastAsia="宋体" w:cs="宋体"/>
                <w:kern w:val="0"/>
                <w:sz w:val="21"/>
                <w:szCs w:val="21"/>
              </w:rPr>
              <w:t>满足招标文件要求得</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分，技术参数有</w:t>
            </w:r>
            <w:r>
              <w:rPr>
                <w:rFonts w:hint="eastAsia" w:ascii="宋体" w:hAnsi="宋体" w:eastAsia="宋体" w:cs="宋体"/>
                <w:kern w:val="0"/>
                <w:sz w:val="21"/>
                <w:szCs w:val="21"/>
                <w:lang w:eastAsia="zh-CN"/>
              </w:rPr>
              <w:t>一项负偏离</w:t>
            </w:r>
            <w:r>
              <w:rPr>
                <w:rFonts w:hint="eastAsia" w:ascii="宋体" w:hAnsi="宋体" w:eastAsia="宋体" w:cs="宋体"/>
                <w:kern w:val="0"/>
                <w:sz w:val="21"/>
                <w:szCs w:val="21"/>
              </w:rPr>
              <w:t>扣</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分</w:t>
            </w:r>
            <w:r>
              <w:rPr>
                <w:rFonts w:hint="eastAsia" w:ascii="宋体" w:hAnsi="宋体" w:eastAsia="宋体" w:cs="宋体"/>
                <w:kern w:val="0"/>
                <w:sz w:val="21"/>
                <w:szCs w:val="21"/>
                <w:lang w:eastAsia="zh-CN"/>
              </w:rPr>
              <w:t>，扣完为止，有一项正偏离加</w:t>
            </w:r>
            <w:r>
              <w:rPr>
                <w:rFonts w:hint="eastAsia" w:ascii="宋体" w:hAnsi="宋体" w:eastAsia="宋体" w:cs="宋体"/>
                <w:kern w:val="0"/>
                <w:sz w:val="21"/>
                <w:szCs w:val="21"/>
                <w:lang w:val="en-US" w:eastAsia="zh-CN"/>
              </w:rPr>
              <w:t>2分，满分40分。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黑体" w:hAnsi="黑体" w:eastAsia="黑体" w:cs="黑体"/>
          <w:sz w:val="36"/>
          <w:szCs w:val="36"/>
          <w:u w:val="none"/>
          <w:lang w:eastAsia="zh-CN"/>
        </w:rPr>
      </w:pPr>
      <w:r>
        <w:rPr>
          <w:rFonts w:hint="eastAsia" w:ascii="黑体" w:hAnsi="黑体" w:eastAsia="黑体" w:cs="黑体"/>
          <w:sz w:val="36"/>
          <w:szCs w:val="36"/>
          <w:lang w:eastAsia="zh-CN"/>
        </w:rPr>
        <w:t>新郑市公立人民医院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u w:val="none"/>
          <w:lang w:eastAsia="zh-CN"/>
        </w:rPr>
        <w:t>购销合同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新宋体" w:hAnsi="新宋体" w:eastAsia="新宋体" w:cs="新宋体"/>
          <w:b/>
          <w:sz w:val="24"/>
          <w:lang w:eastAsia="zh-CN"/>
        </w:rPr>
      </w:pPr>
      <w:r>
        <w:rPr>
          <w:rFonts w:hint="eastAsia" w:ascii="新宋体" w:hAnsi="新宋体" w:eastAsia="新宋体" w:cs="新宋体"/>
          <w:b/>
          <w:sz w:val="24"/>
          <w:lang w:eastAsia="zh-CN"/>
        </w:rPr>
        <w:t>采购方：（甲方）：新郑市公立人民医院</w:t>
      </w:r>
      <w:r>
        <w:rPr>
          <w:rFonts w:hint="eastAsia" w:ascii="新宋体" w:hAnsi="新宋体" w:eastAsia="新宋体" w:cs="新宋体"/>
          <w:b/>
          <w:sz w:val="24"/>
          <w:lang w:val="en-US" w:eastAsia="zh-CN"/>
        </w:rPr>
        <w:t xml:space="preserve">    供货方：（乙方）：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eastAsia="zh-CN"/>
        </w:rPr>
        <w:t>地址：</w:t>
      </w:r>
      <w:r>
        <w:rPr>
          <w:rFonts w:hint="eastAsia" w:ascii="新宋体" w:hAnsi="新宋体" w:eastAsia="新宋体" w:cs="新宋体"/>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联系电话：0371-69952699               联系电话：</w:t>
      </w:r>
      <w:r>
        <w:rPr>
          <w:rFonts w:hint="eastAsia" w:ascii="新宋体" w:hAnsi="新宋体" w:cs="新宋体"/>
          <w:b/>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根据《中华人民郭恒民法典》以及相关法律法规的规定，经甲、乙双方协商，就甲方采购乙方医疗设备事宜，双方自愿签订如下合同。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第一条 设备名称及价格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设备的名称、规格、单价、数量及产地等详见明细表，明细表是本合同的一部分。乙方应随货免费提供设备的技术文件，包括相应的图纸、操作手册、维护手册、质量保证文件、合格证、配置清单、服务指南等。</w:t>
      </w:r>
    </w:p>
    <w:tbl>
      <w:tblPr>
        <w:tblStyle w:val="11"/>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530"/>
        <w:gridCol w:w="1020"/>
        <w:gridCol w:w="1200"/>
        <w:gridCol w:w="1365"/>
        <w:gridCol w:w="1440"/>
        <w:gridCol w:w="20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74"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产品名称</w:t>
            </w: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品牌型号</w:t>
            </w: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产地</w:t>
            </w: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数量（台）</w:t>
            </w: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单价（元）</w:t>
            </w: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合计（元）</w:t>
            </w: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3" w:hRule="atLeast"/>
        </w:trPr>
        <w:tc>
          <w:tcPr>
            <w:tcW w:w="1329"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5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02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20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365"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144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c>
          <w:tcPr>
            <w:tcW w:w="2030" w:type="dxa"/>
            <w:vAlign w:val="center"/>
          </w:tcPr>
          <w:p>
            <w:pPr>
              <w:numPr>
                <w:ilvl w:val="0"/>
                <w:numId w:val="0"/>
              </w:numPr>
              <w:jc w:val="center"/>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59" w:type="dxa"/>
            <w:gridSpan w:val="2"/>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总价（大小写）</w:t>
            </w:r>
          </w:p>
        </w:tc>
        <w:tc>
          <w:tcPr>
            <w:tcW w:w="7056" w:type="dxa"/>
            <w:gridSpan w:val="6"/>
            <w:vAlign w:val="center"/>
          </w:tcPr>
          <w:p>
            <w:pPr>
              <w:numPr>
                <w:ilvl w:val="0"/>
                <w:numId w:val="0"/>
              </w:numPr>
              <w:jc w:val="center"/>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大写：</w:t>
            </w: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第二条 技术标准</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在符合国家相关技术标准的基础上，甲、乙双方根据合同约定进行技术验收，乙方保证所提供货物为原厂原包装合格正品，设备型号和配置与招标文件相符。</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第三条 供货时间及地点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交付时间：</w:t>
      </w:r>
      <w:r>
        <w:rPr>
          <w:rFonts w:hint="eastAsia" w:ascii="新宋体" w:hAnsi="新宋体" w:eastAsia="新宋体" w:cs="新宋体"/>
          <w:sz w:val="24"/>
          <w:highlight w:val="yellow"/>
          <w:lang w:val="en-US" w:eastAsia="zh-CN"/>
        </w:rPr>
        <w:t>合同签订后30个工作日之内乙方向甲方交付设备</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交付地点：新郑市公立人民医院指定地点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乙方送货并承担运费、保险费、税费等，货物交付甲方转移所有权。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第四条 验收标准及方式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共同对设备进行开箱清点、安装调试验收，如果发现乙方所提供货物不是原厂原装合格正品、设备型号和配置与招标文件不相符、数量不足或有质量、技术等问题，乙方应在七日内，按照甲方的要求，采取补足、更换或退货等处理措施，并承担由此发生的一切损失和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设备到货后，</w:t>
      </w:r>
      <w:r>
        <w:rPr>
          <w:rFonts w:hint="eastAsia" w:ascii="新宋体" w:hAnsi="新宋体" w:eastAsia="新宋体" w:cs="新宋体"/>
          <w:color w:val="auto"/>
          <w:sz w:val="24"/>
        </w:rPr>
        <w:t>乙方并按甲方规定时间内完成设备的安装调试</w:t>
      </w:r>
      <w:r>
        <w:rPr>
          <w:rFonts w:hint="eastAsia" w:ascii="新宋体" w:hAnsi="新宋体" w:eastAsia="新宋体" w:cs="新宋体"/>
          <w:color w:val="auto"/>
          <w:sz w:val="24"/>
          <w:lang w:eastAsia="zh-CN"/>
        </w:rPr>
        <w:t>，安装调试验收合格后</w:t>
      </w:r>
      <w:r>
        <w:rPr>
          <w:rFonts w:hint="eastAsia" w:ascii="新宋体" w:hAnsi="新宋体" w:eastAsia="新宋体" w:cs="新宋体"/>
          <w:color w:val="auto"/>
          <w:sz w:val="24"/>
        </w:rPr>
        <w:t>双方在《设备验收单》上签字确认</w:t>
      </w:r>
      <w:r>
        <w:rPr>
          <w:rFonts w:hint="eastAsia" w:ascii="新宋体" w:hAnsi="新宋体" w:eastAsia="新宋体" w:cs="新宋体"/>
          <w:color w:val="auto"/>
          <w:sz w:val="24"/>
          <w:lang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第五条 货款及支付方式</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1、合同总价为人民币：大写：</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合同签订后，设备到货验收合格并正常使用6个月内支付设备总货款的95%,一年后支付剩余5%货款。</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3、付款方式：转账或银行承兑均可</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第六条 售后服务及质量保证</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1、甲方收到货物后应对设备进行验收，乙方对货物实行三包（包修、包换、包退）。</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2、乙方免费提供设备安装所需的专用工具和辅助材料、易耗件，不收取人工费。</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3、设备运至甲方指定地点，乙方应指派工程师安装，安装完成后应对甲方相关操作人员进行设备操作的免费培训，直至甲方操作人员能熟练操作为止，乙方承担培训的薪资、差旅等全部费用。</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4、开机率≧98%，如果开机率低于98%，每低于1%延长一个月质保期，如果开机率低于90%，每低于1%延长二个月质保期；供应商需保证产品、配件长期供应，保证机器设备所需专用耗材在设备停产后保证供应8年，常用配件24小时内到达现场，对更换或维修的零部件从更换或修复投入使用之日起计算质量保证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5、</w:t>
      </w:r>
      <w:r>
        <w:rPr>
          <w:rFonts w:hint="eastAsia" w:ascii="新宋体" w:hAnsi="新宋体" w:eastAsia="新宋体" w:cs="新宋体"/>
          <w:sz w:val="24"/>
          <w:highlight w:val="yellow"/>
          <w:lang w:val="en-US" w:eastAsia="zh-CN"/>
        </w:rPr>
        <w:t>整机免费质保期为1年</w:t>
      </w:r>
      <w:r>
        <w:rPr>
          <w:rFonts w:hint="eastAsia" w:ascii="新宋体" w:hAnsi="新宋体" w:eastAsia="新宋体" w:cs="新宋体"/>
          <w:sz w:val="24"/>
          <w:lang w:val="en-US" w:eastAsia="zh-CN"/>
        </w:rPr>
        <w:t>，自设备安装调试验收合格之日起算。在免费保期内，乙方履行保修义务应免收材料和人工等一切费用；免费提供整机终身技术升级，及时提供设备新功能信息和临床应用资料。在免费保期外，负责终身免费维修，免费提供整机终身升级维护，不换配件不收取维修费用，更换配件只收取配件成本费用，不收取服务费。乙方自收到甲方电话、传真维修要求后应当在1小时内电话响应，如不能排除4小时内工程师必须到达现场解决问题，包括节假日，若24小时不能解决问题，必须提供备用机。</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6、</w:t>
      </w:r>
      <w:r>
        <w:rPr>
          <w:rFonts w:hint="eastAsia" w:ascii="新宋体" w:hAnsi="新宋体" w:eastAsia="新宋体" w:cs="新宋体"/>
          <w:sz w:val="24"/>
          <w:highlight w:val="yellow"/>
          <w:lang w:val="en-US" w:eastAsia="zh-CN"/>
        </w:rPr>
        <w:t>免费质保期内如果出现三次以上因质量问题引起的故障（人为因素除外），乙方应负责免费更换全套新设备，更换设备按更换日期重新计免费质保期</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第七条 违约责任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1、乙方必须保证产品为原厂原装正品，如果出现翻新或以次充好情况，甲方有权要求总货款的</w:t>
      </w:r>
      <w:r>
        <w:rPr>
          <w:rFonts w:hint="eastAsia" w:ascii="新宋体" w:hAnsi="新宋体" w:eastAsia="新宋体" w:cs="新宋体"/>
          <w:sz w:val="24"/>
          <w:highlight w:val="yellow"/>
          <w:lang w:val="en-US" w:eastAsia="zh-CN"/>
        </w:rPr>
        <w:t>双倍赔付损失</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2、</w:t>
      </w:r>
      <w:r>
        <w:rPr>
          <w:rFonts w:hint="eastAsia" w:ascii="新宋体" w:hAnsi="新宋体" w:eastAsia="新宋体" w:cs="新宋体"/>
          <w:sz w:val="24"/>
          <w:highlight w:val="yellow"/>
          <w:lang w:val="en-US" w:eastAsia="zh-CN"/>
        </w:rPr>
        <w:t>乙方如果不能按时提供甲方所需的合格设备，由此影响了甲方正常工作，甲方有权终止合同，如果甲方要求乙方继续供货，乙方从合同约定交货之日起按每日总货款的2%赔付，直至货到之日为止</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3、如</w:t>
      </w:r>
      <w:r>
        <w:rPr>
          <w:rFonts w:hint="eastAsia" w:ascii="新宋体" w:hAnsi="新宋体" w:eastAsia="新宋体" w:cs="新宋体"/>
          <w:sz w:val="24"/>
          <w:highlight w:val="yellow"/>
          <w:lang w:val="en-US" w:eastAsia="zh-CN"/>
        </w:rPr>
        <w:t>乙方违反质量条款交付产品，应在接甲方通知七日内更换合同产品，否则每逾期一日承担合同总额的1%违约金</w:t>
      </w:r>
      <w:r>
        <w:rPr>
          <w:rFonts w:hint="eastAsia" w:ascii="新宋体" w:hAnsi="新宋体" w:eastAsia="新宋体" w:cs="新宋体"/>
          <w:sz w:val="24"/>
          <w:lang w:val="en-US" w:eastAsia="zh-CN"/>
        </w:rPr>
        <w:t>。</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highlight w:val="yellow"/>
          <w:lang w:val="en-US" w:eastAsia="zh-CN"/>
        </w:rPr>
        <w:t>4、若乙方未按合同约定对设备进行正常维保，乙方每次按合同总额的1%支付违约金</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b/>
          <w:bCs/>
          <w:sz w:val="24"/>
          <w:lang w:val="en-US" w:eastAsia="zh-CN"/>
        </w:rPr>
        <w:t>第八条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第九条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新宋体" w:hAnsi="新宋体" w:eastAsia="新宋体" w:cs="新宋体"/>
          <w:b/>
          <w:bCs/>
          <w:sz w:val="24"/>
          <w:lang w:val="en-US" w:eastAsia="zh-CN"/>
        </w:rPr>
      </w:pPr>
      <w:r>
        <w:rPr>
          <w:rFonts w:hint="eastAsia" w:ascii="新宋体" w:hAnsi="新宋体" w:eastAsia="新宋体" w:cs="新宋体"/>
          <w:b/>
          <w:bCs/>
          <w:sz w:val="24"/>
          <w:lang w:val="en-US" w:eastAsia="zh-CN"/>
        </w:rPr>
        <w:t>第十条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48" w:leftChars="456" w:right="0" w:rightChars="0" w:hanging="590" w:hangingChars="246"/>
        <w:textAlignment w:val="auto"/>
        <w:rPr>
          <w:rFonts w:hint="eastAsia" w:ascii="新宋体" w:hAnsi="新宋体" w:eastAsia="新宋体" w:cs="新宋体"/>
          <w:sz w:val="24"/>
          <w:lang w:eastAsia="zh-CN"/>
        </w:rPr>
      </w:pPr>
      <w:r>
        <w:rPr>
          <w:rFonts w:hint="eastAsia" w:ascii="新宋体" w:hAnsi="新宋体" w:eastAsia="新宋体" w:cs="新宋体"/>
          <w:sz w:val="24"/>
        </w:rPr>
        <w:t xml:space="preserve">甲方（盖章）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乙方（盖章）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新宋体" w:hAnsi="新宋体" w:eastAsia="新宋体" w:cs="新宋体"/>
          <w:sz w:val="24"/>
          <w:lang w:eastAsia="zh-CN"/>
        </w:rPr>
      </w:pP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rPr>
      </w:pPr>
      <w:r>
        <w:rPr>
          <w:rFonts w:hint="eastAsia" w:ascii="新宋体" w:hAnsi="新宋体" w:eastAsia="新宋体" w:cs="新宋体"/>
          <w:sz w:val="24"/>
        </w:rPr>
        <w:t xml:space="preserve">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r>
        <w:rPr>
          <w:rFonts w:hint="eastAsia" w:ascii="新宋体" w:hAnsi="新宋体" w:cs="新宋体"/>
          <w:sz w:val="24"/>
          <w:lang w:val="en-US" w:eastAsia="zh-CN"/>
        </w:rPr>
        <w:t xml:space="preserve">                   </w:t>
      </w:r>
      <w:r>
        <w:rPr>
          <w:rFonts w:hint="eastAsia" w:ascii="新宋体" w:hAnsi="新宋体" w:eastAsia="新宋体" w:cs="新宋体"/>
          <w:sz w:val="24"/>
        </w:rPr>
        <w:t xml:space="preserve">签约代表           </w:t>
      </w:r>
      <w:r>
        <w:rPr>
          <w:rFonts w:hint="eastAsia" w:ascii="新宋体" w:hAnsi="新宋体" w:eastAsia="新宋体" w:cs="新宋体"/>
          <w:sz w:val="24"/>
          <w:lang w:val="en-US" w:eastAsia="zh-CN"/>
        </w:rPr>
        <w:t xml:space="preserve">    </w:t>
      </w:r>
      <w:r>
        <w:rPr>
          <w:rFonts w:hint="eastAsia" w:ascii="新宋体" w:hAnsi="新宋体" w:eastAsia="新宋体" w:cs="新宋体"/>
          <w:sz w:val="24"/>
        </w:rPr>
        <w:t xml:space="preserve">    </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ascii="新宋体" w:hAnsi="新宋体" w:eastAsia="新宋体" w:cs="新宋体"/>
          <w:sz w:val="24"/>
          <w:u w:val="single"/>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lang w:val="en-US" w:eastAsia="zh-CN"/>
        </w:rPr>
      </w:pP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年</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月</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rPr>
        <w:t xml:space="preserve">日     </w:t>
      </w:r>
      <w:r>
        <w:rPr>
          <w:rFonts w:hint="eastAsia" w:ascii="新宋体" w:hAnsi="新宋体" w:cs="新宋体"/>
          <w:sz w:val="24"/>
          <w:lang w:val="en-US" w:eastAsia="zh-CN"/>
        </w:rPr>
        <w:t xml:space="preserve">            </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 xml:space="preserve">日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w:t>
            </w:r>
            <w:r>
              <w:rPr>
                <w:rFonts w:hint="eastAsia" w:ascii="仿宋" w:hAnsi="仿宋" w:eastAsia="仿宋"/>
                <w:b/>
                <w:color w:val="C00000"/>
                <w:sz w:val="22"/>
                <w:szCs w:val="21"/>
                <w:lang w:eastAsia="zh-CN"/>
              </w:rPr>
              <w:t>参数偏离表</w:t>
            </w:r>
            <w:r>
              <w:rPr>
                <w:rFonts w:hint="eastAsia" w:ascii="仿宋" w:hAnsi="仿宋" w:eastAsia="仿宋"/>
                <w:b/>
                <w:color w:val="C00000"/>
                <w:sz w:val="22"/>
                <w:szCs w:val="21"/>
              </w:rPr>
              <w:t>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54146"/>
      <w:bookmarkStart w:id="2" w:name="_Toc258360158"/>
      <w:bookmarkStart w:id="3" w:name="_Toc337475854"/>
      <w:bookmarkStart w:id="4" w:name="_Toc17030"/>
      <w:bookmarkStart w:id="5" w:name="_Toc337554724"/>
      <w:bookmarkStart w:id="6" w:name="_Toc15313"/>
      <w:bookmarkStart w:id="7" w:name="_Toc261708863"/>
      <w:bookmarkStart w:id="8" w:name="_Toc248896063"/>
      <w:bookmarkStart w:id="9" w:name="_Toc219626747"/>
      <w:bookmarkStart w:id="10" w:name="_Toc9548"/>
      <w:bookmarkStart w:id="11" w:name="_Toc10762"/>
      <w:bookmarkStart w:id="12" w:name="_Toc258360269"/>
      <w:bookmarkStart w:id="13" w:name="_Toc258333636"/>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hint="eastAsia" w:ascii="黑体" w:eastAsia="黑体"/>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val="en-US" w:eastAsia="zh-CN"/>
        </w:rPr>
        <w:t xml:space="preserve">              报价表格式自拟</w:t>
      </w: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5D942D4"/>
    <w:rsid w:val="16A35C46"/>
    <w:rsid w:val="170D04F7"/>
    <w:rsid w:val="17D81E85"/>
    <w:rsid w:val="186D0D29"/>
    <w:rsid w:val="188744A6"/>
    <w:rsid w:val="1965314B"/>
    <w:rsid w:val="19DB2D10"/>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8D0D69"/>
    <w:rsid w:val="359022EB"/>
    <w:rsid w:val="36DC3A78"/>
    <w:rsid w:val="384A7AD5"/>
    <w:rsid w:val="3A3A4AA9"/>
    <w:rsid w:val="3AD243FA"/>
    <w:rsid w:val="3B1111E4"/>
    <w:rsid w:val="3B2A4846"/>
    <w:rsid w:val="3B5373B6"/>
    <w:rsid w:val="3B677688"/>
    <w:rsid w:val="3C8F1C55"/>
    <w:rsid w:val="3CCF593D"/>
    <w:rsid w:val="3DA0606C"/>
    <w:rsid w:val="3DEC493C"/>
    <w:rsid w:val="3EC01209"/>
    <w:rsid w:val="3EDC78BB"/>
    <w:rsid w:val="3EEB7664"/>
    <w:rsid w:val="40B27A77"/>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503F3FE4"/>
    <w:rsid w:val="51412A8B"/>
    <w:rsid w:val="514F77D3"/>
    <w:rsid w:val="531061A4"/>
    <w:rsid w:val="533D08A8"/>
    <w:rsid w:val="53501B3C"/>
    <w:rsid w:val="53D33B35"/>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4877</Words>
  <Characters>5047</Characters>
  <Lines>55</Lines>
  <Paragraphs>15</Paragraphs>
  <TotalTime>2</TotalTime>
  <ScaleCrop>false</ScaleCrop>
  <LinksUpToDate>false</LinksUpToDate>
  <CharactersWithSpaces>5696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2023-03-31T01:01:25Z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493DB46D37854FBB97BA6C655364FCA7</vt:lpwstr>
  </property>
</Properties>
</file>