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总务物资供应项目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2023年1月28日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总务物资供应项目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总务物资供应项目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pPr>
        <w:pStyle w:val="2"/>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sz w:val="32"/>
          <w:szCs w:val="32"/>
          <w:lang w:eastAsia="zh-CN"/>
        </w:rPr>
        <w:t>项目清单：</w:t>
      </w:r>
      <w:r>
        <w:rPr>
          <w:rFonts w:hint="eastAsia" w:ascii="仿宋_GB2312" w:hAnsi="Calibri" w:eastAsia="仿宋_GB2312" w:cs="Times New Roman"/>
          <w:kern w:val="2"/>
          <w:sz w:val="32"/>
          <w:szCs w:val="32"/>
          <w:lang w:val="en-US" w:eastAsia="zh-CN" w:bidi="ar-SA"/>
        </w:rPr>
        <w:t>见附件</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28</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2</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w:t>
      </w:r>
      <w:bookmarkStart w:id="15" w:name="_GoBack"/>
      <w:bookmarkEnd w:id="15"/>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w:t>
      </w:r>
      <w:r>
        <w:rPr>
          <w:rFonts w:hint="eastAsia" w:ascii="仿宋_GB2312" w:eastAsia="仿宋_GB2312"/>
          <w:sz w:val="32"/>
          <w:szCs w:val="32"/>
          <w:lang w:val="en-US" w:eastAsia="zh-CN"/>
        </w:rPr>
        <w:t>0</w:t>
      </w:r>
      <w:r>
        <w:rPr>
          <w:rFonts w:hint="eastAsia" w:ascii="仿宋_GB2312" w:eastAsia="仿宋_GB2312"/>
          <w:sz w:val="32"/>
          <w:szCs w:val="32"/>
        </w:rPr>
        <w:t>0-17:00（北京时间）】</w:t>
      </w:r>
    </w:p>
    <w:p>
      <w:pPr>
        <w:keepNext w:val="0"/>
        <w:keepLines w:val="0"/>
        <w:pageBreakBefore w:val="0"/>
        <w:numPr>
          <w:ilvl w:val="0"/>
          <w:numId w:val="5"/>
        </w:numPr>
        <w:kinsoku/>
        <w:wordWrap/>
        <w:overflowPunct/>
        <w:topLinePunct w:val="0"/>
        <w:autoSpaceDE/>
        <w:autoSpaceDN/>
        <w:bidi w:val="0"/>
        <w:snapToGrid/>
        <w:spacing w:line="560" w:lineRule="exact"/>
        <w:ind w:left="-10" w:leftChars="0" w:firstLine="64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 xml:space="preserve"> 科研楼3楼财务部</w:t>
      </w:r>
    </w:p>
    <w:p>
      <w:pPr>
        <w:keepNext w:val="0"/>
        <w:keepLines w:val="0"/>
        <w:pageBreakBefore w:val="0"/>
        <w:numPr>
          <w:ilvl w:val="0"/>
          <w:numId w:val="0"/>
        </w:numPr>
        <w:kinsoku/>
        <w:wordWrap/>
        <w:overflowPunct/>
        <w:topLinePunct w:val="0"/>
        <w:autoSpaceDE/>
        <w:autoSpaceDN/>
        <w:bidi w:val="0"/>
        <w:snapToGrid/>
        <w:spacing w:line="560" w:lineRule="exact"/>
        <w:ind w:left="630" w:leftChars="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s="Times New Roman"/>
          <w:color w:val="FF0000"/>
          <w:sz w:val="32"/>
          <w:szCs w:val="32"/>
          <w:lang w:eastAsia="zh-CN"/>
        </w:rPr>
        <w:t>。</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6"/>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b/>
                <w:color w:val="000000" w:themeColor="text1"/>
                <w:szCs w:val="21"/>
                <w:highlight w:val="yellow"/>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b/>
                <w:color w:val="000000" w:themeColor="text1"/>
                <w:szCs w:val="21"/>
                <w:highlight w:val="yellow"/>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b/>
                <w:color w:val="000000" w:themeColor="text1"/>
                <w:szCs w:val="21"/>
                <w:highlight w:val="yellow"/>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highlight w:val="yellow"/>
                <w:u w:val="single"/>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报价部分：</w:t>
            </w:r>
            <w:r>
              <w:rPr>
                <w:rFonts w:hint="eastAsia" w:ascii="宋体" w:hAnsi="宋体" w:cs="宋体"/>
                <w:color w:val="000000" w:themeColor="text1"/>
                <w:szCs w:val="21"/>
                <w:highlight w:val="yellow"/>
                <w:u w:val="single"/>
                <w14:textFill>
                  <w14:solidFill>
                    <w14:schemeClr w14:val="tx1"/>
                  </w14:solidFill>
                </w14:textFill>
              </w:rPr>
              <w:t xml:space="preserve">  </w:t>
            </w:r>
            <w:r>
              <w:rPr>
                <w:rFonts w:hint="eastAsia" w:ascii="宋体" w:hAnsi="宋体" w:cs="宋体"/>
                <w:color w:val="000000" w:themeColor="text1"/>
                <w:szCs w:val="21"/>
                <w:highlight w:val="yellow"/>
                <w:u w:val="single"/>
                <w:lang w:val="en-US" w:eastAsia="zh-CN"/>
                <w14:textFill>
                  <w14:solidFill>
                    <w14:schemeClr w14:val="tx1"/>
                  </w14:solidFill>
                </w14:textFill>
              </w:rPr>
              <w:t>30</w:t>
            </w:r>
            <w:r>
              <w:rPr>
                <w:rFonts w:hint="eastAsia" w:ascii="宋体" w:hAnsi="宋体" w:cs="宋体"/>
                <w:color w:val="000000" w:themeColor="text1"/>
                <w:szCs w:val="21"/>
                <w:highlight w:val="yellow"/>
                <w14:textFill>
                  <w14:solidFill>
                    <w14:schemeClr w14:val="tx1"/>
                  </w14:solidFill>
                </w14:textFill>
              </w:rPr>
              <w:t>分</w:t>
            </w:r>
          </w:p>
          <w:p>
            <w:pPr>
              <w:spacing w:before="120" w:after="120" w:line="360" w:lineRule="auto"/>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产品</w:t>
            </w:r>
            <w:r>
              <w:rPr>
                <w:rFonts w:hint="eastAsia" w:ascii="宋体" w:hAnsi="宋体" w:cs="宋体"/>
                <w:color w:val="000000" w:themeColor="text1"/>
                <w:szCs w:val="21"/>
                <w:highlight w:val="yellow"/>
                <w14:textFill>
                  <w14:solidFill>
                    <w14:schemeClr w14:val="tx1"/>
                  </w14:solidFill>
                </w14:textFill>
              </w:rPr>
              <w:t>部分：</w:t>
            </w:r>
            <w:r>
              <w:rPr>
                <w:rFonts w:hint="eastAsia" w:ascii="宋体" w:hAnsi="宋体" w:cs="宋体"/>
                <w:color w:val="000000" w:themeColor="text1"/>
                <w:szCs w:val="21"/>
                <w:highlight w:val="yellow"/>
                <w:lang w:val="en-US" w:eastAsia="zh-CN"/>
                <w14:textFill>
                  <w14:solidFill>
                    <w14:schemeClr w14:val="tx1"/>
                  </w14:solidFill>
                </w14:textFill>
              </w:rPr>
              <w:t xml:space="preserve"> </w:t>
            </w:r>
            <w:r>
              <w:rPr>
                <w:rFonts w:hint="eastAsia" w:ascii="宋体" w:hAnsi="宋体" w:cs="宋体"/>
                <w:color w:val="000000" w:themeColor="text1"/>
                <w:szCs w:val="21"/>
                <w:highlight w:val="yellow"/>
                <w:u w:val="single"/>
                <w:lang w:val="en-US" w:eastAsia="zh-CN"/>
                <w14:textFill>
                  <w14:solidFill>
                    <w14:schemeClr w14:val="tx1"/>
                  </w14:solidFill>
                </w14:textFill>
              </w:rPr>
              <w:t>20</w:t>
            </w:r>
            <w:r>
              <w:rPr>
                <w:rFonts w:hint="eastAsia" w:ascii="宋体" w:hAnsi="宋体" w:cs="宋体"/>
                <w:color w:val="000000" w:themeColor="text1"/>
                <w:szCs w:val="21"/>
                <w:highlight w:val="yellow"/>
                <w:u w:val="single"/>
                <w14:textFill>
                  <w14:solidFill>
                    <w14:schemeClr w14:val="tx1"/>
                  </w14:solidFill>
                </w14:textFill>
              </w:rPr>
              <w:t xml:space="preserve"> </w:t>
            </w:r>
            <w:r>
              <w:rPr>
                <w:rFonts w:hint="eastAsia" w:ascii="宋体" w:hAnsi="宋体" w:cs="宋体"/>
                <w:color w:val="000000" w:themeColor="text1"/>
                <w:szCs w:val="21"/>
                <w:highlight w:val="yellow"/>
                <w14:textFill>
                  <w14:solidFill>
                    <w14:schemeClr w14:val="tx1"/>
                  </w14:solidFill>
                </w14:textFill>
              </w:rPr>
              <w:t>分</w:t>
            </w:r>
          </w:p>
          <w:p>
            <w:pPr>
              <w:spacing w:before="120" w:after="120" w:line="360" w:lineRule="auto"/>
              <w:rPr>
                <w:rFonts w:hint="eastAsia"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综合部分：</w:t>
            </w:r>
            <w:r>
              <w:rPr>
                <w:rFonts w:hint="eastAsia" w:ascii="宋体" w:hAnsi="宋体" w:cs="宋体"/>
                <w:color w:val="000000" w:themeColor="text1"/>
                <w:szCs w:val="21"/>
                <w:highlight w:val="yellow"/>
                <w:u w:val="single"/>
                <w14:textFill>
                  <w14:solidFill>
                    <w14:schemeClr w14:val="tx1"/>
                  </w14:solidFill>
                </w14:textFill>
              </w:rPr>
              <w:t xml:space="preserve">  </w:t>
            </w:r>
            <w:r>
              <w:rPr>
                <w:rFonts w:hint="eastAsia" w:ascii="宋体" w:hAnsi="宋体" w:cs="宋体"/>
                <w:color w:val="000000" w:themeColor="text1"/>
                <w:szCs w:val="21"/>
                <w:highlight w:val="yellow"/>
                <w:u w:val="single"/>
                <w:lang w:val="en-US" w:eastAsia="zh-CN"/>
                <w14:textFill>
                  <w14:solidFill>
                    <w14:schemeClr w14:val="tx1"/>
                  </w14:solidFill>
                </w14:textFill>
              </w:rPr>
              <w:t>25</w:t>
            </w:r>
            <w:r>
              <w:rPr>
                <w:rFonts w:hint="eastAsia" w:ascii="宋体" w:hAnsi="宋体" w:cs="宋体"/>
                <w:color w:val="000000" w:themeColor="text1"/>
                <w:szCs w:val="21"/>
                <w:highlight w:val="yellow"/>
                <w14:textFill>
                  <w14:solidFill>
                    <w14:schemeClr w14:val="tx1"/>
                  </w14:solidFill>
                </w14:textFill>
              </w:rPr>
              <w:t>分</w:t>
            </w:r>
          </w:p>
          <w:p>
            <w:pPr>
              <w:pStyle w:val="2"/>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服务部分：</w:t>
            </w:r>
            <w:r>
              <w:rPr>
                <w:rFonts w:hint="eastAsia" w:ascii="宋体" w:hAnsi="宋体" w:cs="宋体"/>
                <w:color w:val="000000" w:themeColor="text1"/>
                <w:szCs w:val="21"/>
                <w:highlight w:val="yellow"/>
                <w:u w:val="single"/>
                <w:lang w:val="en-US" w:eastAsia="zh-CN"/>
                <w14:textFill>
                  <w14:solidFill>
                    <w14:schemeClr w14:val="tx1"/>
                  </w14:solidFill>
                </w14:textFill>
              </w:rPr>
              <w:t>25</w:t>
            </w:r>
            <w:r>
              <w:rPr>
                <w:rFonts w:hint="eastAsia" w:ascii="宋体" w:hAnsi="宋体" w:cs="宋体"/>
                <w:color w:val="000000" w:themeColor="text1"/>
                <w:szCs w:val="21"/>
                <w:highlight w:val="yellow"/>
                <w:u w:val="single"/>
                <w14:textFill>
                  <w14:solidFill>
                    <w14:schemeClr w14:val="tx1"/>
                  </w14:solidFill>
                </w14:textFill>
              </w:rPr>
              <w:t xml:space="preserve"> </w:t>
            </w:r>
            <w:r>
              <w:rPr>
                <w:rFonts w:hint="eastAsia" w:ascii="宋体" w:hAnsi="宋体" w:cs="宋体"/>
                <w:color w:val="000000" w:themeColor="text1"/>
                <w:szCs w:val="21"/>
                <w:highlight w:val="yellow"/>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满足招标文件要求</w:t>
            </w:r>
            <w:r>
              <w:rPr>
                <w:rFonts w:hint="eastAsia" w:ascii="宋体" w:hAnsi="宋体" w:cs="宋体"/>
                <w:color w:val="000000" w:themeColor="text1"/>
                <w:szCs w:val="21"/>
                <w:highlight w:val="yellow"/>
                <w:lang w:eastAsia="zh-CN"/>
                <w14:textFill>
                  <w14:solidFill>
                    <w14:schemeClr w14:val="tx1"/>
                  </w14:solidFill>
                </w14:textFill>
              </w:rPr>
              <w:t>以最低价</w:t>
            </w:r>
            <w:r>
              <w:rPr>
                <w:rFonts w:hint="eastAsia" w:ascii="宋体" w:hAnsi="宋体" w:cs="宋体"/>
                <w:color w:val="000000" w:themeColor="text1"/>
                <w:szCs w:val="21"/>
                <w:highlight w:val="yellow"/>
                <w14:textFill>
                  <w14:solidFill>
                    <w14:schemeClr w14:val="tx1"/>
                  </w14:solidFill>
                </w14:textFill>
              </w:rPr>
              <w:t>为评标基准价，得</w:t>
            </w:r>
            <w:r>
              <w:rPr>
                <w:rFonts w:hint="eastAsia" w:ascii="宋体" w:hAnsi="宋体" w:cs="宋体"/>
                <w:color w:val="000000" w:themeColor="text1"/>
                <w:szCs w:val="21"/>
                <w:highlight w:val="yellow"/>
                <w:lang w:val="en-US" w:eastAsia="zh-CN"/>
                <w14:textFill>
                  <w14:solidFill>
                    <w14:schemeClr w14:val="tx1"/>
                  </w14:solidFill>
                </w14:textFill>
              </w:rPr>
              <w:t>30</w:t>
            </w:r>
            <w:r>
              <w:rPr>
                <w:rFonts w:hint="eastAsia" w:ascii="宋体" w:hAnsi="宋体" w:cs="宋体"/>
                <w:color w:val="000000" w:themeColor="text1"/>
                <w:szCs w:val="21"/>
                <w:highlight w:val="yellow"/>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w:t>
            </w:r>
            <w:r>
              <w:rPr>
                <w:rFonts w:hint="eastAsia" w:ascii="宋体" w:hAnsi="宋体" w:cs="宋体"/>
                <w:color w:val="000000" w:themeColor="text1"/>
                <w:szCs w:val="21"/>
                <w:highlight w:val="yellow"/>
                <w:lang w:val="en-US" w:eastAsia="zh-CN"/>
                <w14:textFill>
                  <w14:solidFill>
                    <w14:schemeClr w14:val="tx1"/>
                  </w14:solidFill>
                </w14:textFill>
              </w:rPr>
              <w:t>30</w:t>
            </w:r>
            <w:r>
              <w:rPr>
                <w:rFonts w:hint="eastAsia" w:ascii="宋体" w:hAnsi="宋体" w:cs="宋体"/>
                <w:color w:val="000000" w:themeColor="text1"/>
                <w:szCs w:val="21"/>
                <w:highlight w:val="yellow"/>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highlight w:val="yellow"/>
                <w:lang w:val="en-US" w:eastAsia="zh-CN"/>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 xml:space="preserve">投标报价得分=（评标基准价/投标报价）* </w:t>
            </w:r>
            <w:r>
              <w:rPr>
                <w:rFonts w:hint="eastAsia" w:ascii="宋体" w:hAnsi="宋体" w:cs="宋体"/>
                <w:color w:val="000000" w:themeColor="text1"/>
                <w:szCs w:val="21"/>
                <w:highlight w:val="yellow"/>
                <w:lang w:val="en-US" w:eastAsia="zh-CN"/>
                <w14:textFill>
                  <w14:solidFill>
                    <w14:schemeClr w14:val="tx1"/>
                  </w14:solidFill>
                </w14:textFill>
              </w:rPr>
              <w:t>30</w:t>
            </w:r>
          </w:p>
          <w:p>
            <w:pPr>
              <w:spacing w:line="360" w:lineRule="auto"/>
              <w:jc w:val="left"/>
              <w:rPr>
                <w:rFonts w:ascii="宋体" w:hAnsi="宋体" w:eastAsia="宋体" w:cs="宋体"/>
                <w:b/>
                <w:color w:val="000000" w:themeColor="text1"/>
                <w:szCs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产品技术</w:t>
            </w:r>
            <w:r>
              <w:rPr>
                <w:rFonts w:hint="eastAsia" w:ascii="宋体" w:hAnsi="宋体" w:cs="宋体"/>
                <w:color w:val="000000" w:themeColor="text1"/>
                <w:szCs w:val="21"/>
                <w:highlight w:val="yellow"/>
                <w14:textFill>
                  <w14:solidFill>
                    <w14:schemeClr w14:val="tx1"/>
                  </w14:solidFill>
                </w14:textFill>
              </w:rPr>
              <w:t>（</w:t>
            </w:r>
            <w:r>
              <w:rPr>
                <w:rFonts w:hint="eastAsia" w:ascii="宋体" w:hAnsi="宋体" w:cs="宋体"/>
                <w:color w:val="000000" w:themeColor="text1"/>
                <w:szCs w:val="21"/>
                <w:highlight w:val="yellow"/>
                <w:lang w:val="en-US" w:eastAsia="zh-CN"/>
                <w14:textFill>
                  <w14:solidFill>
                    <w14:schemeClr w14:val="tx1"/>
                  </w14:solidFill>
                </w14:textFill>
              </w:rPr>
              <w:t>20</w:t>
            </w:r>
            <w:r>
              <w:rPr>
                <w:rFonts w:hint="eastAsia" w:ascii="宋体" w:hAnsi="宋体" w:cs="宋体"/>
                <w:color w:val="000000" w:themeColor="text1"/>
                <w:szCs w:val="21"/>
                <w:highlight w:val="yellow"/>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highlight w:val="yellow"/>
                <w:lang w:val="en-US" w:eastAsia="zh-CN"/>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根据产品的实用性，与项目的契合程度在</w:t>
            </w:r>
            <w:r>
              <w:rPr>
                <w:rFonts w:hint="eastAsia" w:ascii="宋体" w:hAnsi="宋体" w:cs="宋体"/>
                <w:color w:val="000000" w:themeColor="text1"/>
                <w:szCs w:val="21"/>
                <w:highlight w:val="yellow"/>
                <w:lang w:val="en-US" w:eastAsia="zh-CN"/>
                <w14:textFill>
                  <w14:solidFill>
                    <w14:schemeClr w14:val="tx1"/>
                  </w14:solidFill>
                </w14:textFill>
              </w:rPr>
              <w:t>0-20分的范围内进行打分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综合实力（</w:t>
            </w:r>
            <w:r>
              <w:rPr>
                <w:rFonts w:hint="eastAsia" w:ascii="宋体" w:hAnsi="宋体" w:cs="宋体"/>
                <w:color w:val="000000" w:themeColor="text1"/>
                <w:szCs w:val="21"/>
                <w:highlight w:val="yellow"/>
                <w:lang w:val="en-US" w:eastAsia="zh-CN"/>
                <w14:textFill>
                  <w14:solidFill>
                    <w14:schemeClr w14:val="tx1"/>
                  </w14:solidFill>
                </w14:textFill>
              </w:rPr>
              <w:t>20</w:t>
            </w:r>
            <w:r>
              <w:rPr>
                <w:rFonts w:hint="eastAsia" w:ascii="宋体" w:hAnsi="宋体" w:cs="宋体"/>
                <w:color w:val="000000" w:themeColor="text1"/>
                <w:szCs w:val="21"/>
                <w:highlight w:val="yellow"/>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highlight w:val="yellow"/>
                <w:lang w:val="en-US" w:eastAsia="zh-CN"/>
                <w14:textFill>
                  <w14:solidFill>
                    <w14:schemeClr w14:val="tx1"/>
                  </w14:solidFill>
                </w14:textFill>
              </w:rPr>
            </w:pPr>
            <w:r>
              <w:rPr>
                <w:rFonts w:hint="eastAsia" w:ascii="宋体" w:hAnsi="宋体" w:cs="宋体"/>
                <w:color w:val="000000" w:themeColor="text1"/>
                <w:kern w:val="0"/>
                <w:szCs w:val="21"/>
                <w:highlight w:val="yellow"/>
                <w:lang w:eastAsia="zh-CN"/>
                <w14:textFill>
                  <w14:solidFill>
                    <w14:schemeClr w14:val="tx1"/>
                  </w14:solidFill>
                </w14:textFill>
              </w:rPr>
              <w:t>根据</w:t>
            </w:r>
            <w:r>
              <w:rPr>
                <w:rFonts w:hint="eastAsia" w:ascii="宋体" w:hAnsi="宋体" w:cs="宋体"/>
                <w:color w:val="000000" w:themeColor="text1"/>
                <w:kern w:val="0"/>
                <w:szCs w:val="21"/>
                <w:highlight w:val="yellow"/>
                <w14:textFill>
                  <w14:solidFill>
                    <w14:schemeClr w14:val="tx1"/>
                  </w14:solidFill>
                </w14:textFill>
              </w:rPr>
              <w:t>人员、设备、资金等方面具有相应较强的供应、和售后服务能力</w:t>
            </w:r>
            <w:r>
              <w:rPr>
                <w:rFonts w:hint="eastAsia" w:ascii="宋体" w:hAnsi="宋体" w:cs="宋体"/>
                <w:color w:val="000000" w:themeColor="text1"/>
                <w:kern w:val="0"/>
                <w:szCs w:val="21"/>
                <w:highlight w:val="yellow"/>
                <w:lang w:eastAsia="zh-CN"/>
                <w14:textFill>
                  <w14:solidFill>
                    <w14:schemeClr w14:val="tx1"/>
                  </w14:solidFill>
                </w14:textFill>
              </w:rPr>
              <w:t>等在</w:t>
            </w:r>
            <w:r>
              <w:rPr>
                <w:rFonts w:hint="eastAsia" w:ascii="宋体" w:hAnsi="宋体" w:cs="宋体"/>
                <w:color w:val="000000" w:themeColor="text1"/>
                <w:kern w:val="0"/>
                <w:szCs w:val="21"/>
                <w:highlight w:val="yellow"/>
                <w:lang w:val="en-US" w:eastAsia="zh-CN"/>
                <w14:textFill>
                  <w14:solidFill>
                    <w14:schemeClr w14:val="tx1"/>
                  </w14:solidFill>
                </w14:textFill>
              </w:rPr>
              <w:t>0-20分范围内打分</w:t>
            </w:r>
            <w:r>
              <w:rPr>
                <w:rFonts w:hint="eastAsia" w:ascii="宋体" w:hAnsi="宋体" w:cs="宋体"/>
                <w:color w:val="000000" w:themeColor="text1"/>
                <w:szCs w:val="21"/>
                <w:highlight w:val="yellow"/>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highlight w:val="yellow"/>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highlight w:val="yellow"/>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highlight w:val="yellow"/>
                <w14:textFill>
                  <w14:solidFill>
                    <w14:schemeClr w14:val="tx1"/>
                  </w14:solidFill>
                </w14:textFill>
              </w:rPr>
            </w:pPr>
            <w:r>
              <w:rPr>
                <w:rFonts w:hint="eastAsia" w:ascii="宋体" w:hAnsi="宋体" w:cs="宋体"/>
                <w:color w:val="000000" w:themeColor="text1"/>
                <w:kern w:val="0"/>
                <w:szCs w:val="21"/>
                <w:highlight w:val="yellow"/>
                <w14:textFill>
                  <w14:solidFill>
                    <w14:schemeClr w14:val="tx1"/>
                  </w14:solidFill>
                </w14:textFill>
              </w:rPr>
              <w:t>1.具有201</w:t>
            </w:r>
            <w:r>
              <w:rPr>
                <w:rFonts w:hint="eastAsia" w:ascii="宋体" w:hAnsi="宋体" w:cs="宋体"/>
                <w:color w:val="000000" w:themeColor="text1"/>
                <w:kern w:val="0"/>
                <w:szCs w:val="21"/>
                <w:highlight w:val="yellow"/>
                <w:lang w:val="en-US" w:eastAsia="zh-CN"/>
                <w14:textFill>
                  <w14:solidFill>
                    <w14:schemeClr w14:val="tx1"/>
                  </w14:solidFill>
                </w14:textFill>
              </w:rPr>
              <w:t>8</w:t>
            </w:r>
            <w:r>
              <w:rPr>
                <w:rFonts w:hint="eastAsia" w:ascii="宋体" w:hAnsi="宋体" w:cs="宋体"/>
                <w:color w:val="000000" w:themeColor="text1"/>
                <w:kern w:val="0"/>
                <w:szCs w:val="21"/>
                <w:highlight w:val="yellow"/>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highlight w:val="yellow"/>
                <w:lang w:val="en-US" w:eastAsia="zh-CN"/>
                <w14:textFill>
                  <w14:solidFill>
                    <w14:schemeClr w14:val="tx1"/>
                  </w14:solidFill>
                </w14:textFill>
              </w:rPr>
            </w:pPr>
            <w:r>
              <w:rPr>
                <w:rFonts w:hint="eastAsia" w:ascii="宋体" w:hAnsi="宋体" w:cs="宋体"/>
                <w:color w:val="000000" w:themeColor="text1"/>
                <w:szCs w:val="21"/>
                <w:highlight w:val="yellow"/>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highlight w:val="yellow"/>
                <w:lang w:eastAsia="zh-CN"/>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highlight w:val="yellow"/>
                <w:lang w:eastAsia="zh-CN"/>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服务方案（</w:t>
            </w:r>
            <w:r>
              <w:rPr>
                <w:rFonts w:hint="eastAsia" w:ascii="宋体" w:hAnsi="宋体" w:cs="宋体"/>
                <w:color w:val="000000" w:themeColor="text1"/>
                <w:szCs w:val="21"/>
                <w:highlight w:val="yellow"/>
                <w:lang w:val="en-US" w:eastAsia="zh-CN"/>
                <w14:textFill>
                  <w14:solidFill>
                    <w14:schemeClr w14:val="tx1"/>
                  </w14:solidFill>
                </w14:textFill>
              </w:rPr>
              <w:t>25分</w:t>
            </w:r>
            <w:r>
              <w:rPr>
                <w:rFonts w:hint="eastAsia" w:ascii="宋体" w:hAnsi="宋体" w:cs="宋体"/>
                <w:color w:val="000000" w:themeColor="text1"/>
                <w:szCs w:val="21"/>
                <w:highlight w:val="yellow"/>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highlight w:val="yellow"/>
                <w:lang w:val="en-US" w:eastAsia="zh-CN"/>
              </w:rPr>
            </w:pPr>
            <w:r>
              <w:rPr>
                <w:rFonts w:hint="eastAsia"/>
                <w:highlight w:val="yellow"/>
                <w:lang w:val="en-US" w:eastAsia="zh-CN"/>
              </w:rPr>
              <w:t>根据产品的配送速度在0-10分范围内进行打分</w:t>
            </w:r>
          </w:p>
          <w:p>
            <w:pPr>
              <w:pStyle w:val="2"/>
              <w:numPr>
                <w:ilvl w:val="0"/>
                <w:numId w:val="8"/>
              </w:numPr>
              <w:rPr>
                <w:rFonts w:hint="eastAsia"/>
                <w:highlight w:val="yellow"/>
                <w:lang w:val="en-US" w:eastAsia="zh-CN"/>
              </w:rPr>
            </w:pPr>
            <w:r>
              <w:rPr>
                <w:rFonts w:hint="eastAsia"/>
                <w:highlight w:val="yellow"/>
                <w:lang w:val="en-US" w:eastAsia="zh-CN"/>
              </w:rPr>
              <w:t>根据产品的售后方案在0-10分范围内进行打分</w:t>
            </w:r>
          </w:p>
          <w:p>
            <w:pPr>
              <w:pStyle w:val="2"/>
              <w:numPr>
                <w:ilvl w:val="0"/>
                <w:numId w:val="8"/>
              </w:numPr>
              <w:rPr>
                <w:rFonts w:hint="eastAsia"/>
                <w:highlight w:val="yellow"/>
                <w:lang w:val="en-US" w:eastAsia="zh-CN"/>
              </w:rPr>
            </w:pPr>
            <w:r>
              <w:rPr>
                <w:rFonts w:hint="eastAsia"/>
                <w:highlight w:val="yellow"/>
                <w:lang w:val="en-US" w:eastAsia="zh-CN"/>
              </w:rPr>
              <w:t>根据其他优惠条件在0-5分范围内打分</w:t>
            </w:r>
          </w:p>
        </w:tc>
      </w:tr>
    </w:tbl>
    <w:p>
      <w:pPr>
        <w:pStyle w:val="2"/>
        <w:rPr>
          <w:rFonts w:hint="eastAsia"/>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pacing w:val="4"/>
          <w:sz w:val="44"/>
          <w:szCs w:val="44"/>
          <w:lang w:val="en-US" w:eastAsia="zh-CN"/>
        </w:rPr>
      </w:pPr>
      <w:r>
        <w:rPr>
          <w:rFonts w:hint="eastAsia" w:ascii="方正小标宋简体" w:hAnsi="方正小标宋简体" w:eastAsia="方正小标宋简体" w:cs="方正小标宋简体"/>
          <w:color w:val="auto"/>
          <w:spacing w:val="4"/>
          <w:sz w:val="44"/>
          <w:szCs w:val="44"/>
          <w:lang w:val="en-US" w:eastAsia="zh-CN"/>
        </w:rPr>
        <w:t>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pacing w:val="4"/>
          <w:sz w:val="24"/>
          <w:szCs w:val="24"/>
          <w:lang w:val="en-US" w:eastAsia="zh-CN"/>
        </w:rPr>
      </w:pPr>
      <w:r>
        <w:rPr>
          <w:rFonts w:hint="eastAsia" w:ascii="方正小标宋简体" w:hAnsi="方正小标宋简体" w:eastAsia="方正小标宋简体" w:cs="方正小标宋简体"/>
          <w:color w:val="auto"/>
          <w:spacing w:val="4"/>
          <w:sz w:val="44"/>
          <w:szCs w:val="44"/>
          <w:lang w:val="en-US" w:eastAsia="zh-CN"/>
        </w:rPr>
        <w:t>总务物资供应合同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甲方：新郑市公立人民医院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地址：河南省郑州新郑市中华南路</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联系电话：0371-56829202</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开户行及账号：中国农业银行股份有限公司新郑市支行16017001040030511</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乙方：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开户行及账号：</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rPr>
        <w:t>为构建诚信、公正、和谐的</w:t>
      </w:r>
      <w:r>
        <w:rPr>
          <w:rFonts w:hint="eastAsia" w:ascii="仿宋" w:hAnsi="仿宋" w:eastAsia="仿宋" w:cs="仿宋"/>
          <w:color w:val="auto"/>
          <w:spacing w:val="4"/>
          <w:sz w:val="24"/>
          <w:lang w:eastAsia="zh-CN"/>
        </w:rPr>
        <w:t>总务物资</w:t>
      </w:r>
      <w:r>
        <w:rPr>
          <w:rFonts w:hint="eastAsia" w:ascii="仿宋" w:hAnsi="仿宋" w:eastAsia="仿宋" w:cs="仿宋"/>
          <w:color w:val="auto"/>
          <w:spacing w:val="4"/>
          <w:sz w:val="24"/>
        </w:rPr>
        <w:t>购销秩序，维护</w:t>
      </w:r>
      <w:r>
        <w:rPr>
          <w:rFonts w:hint="eastAsia" w:ascii="仿宋" w:hAnsi="仿宋" w:eastAsia="仿宋" w:cs="仿宋"/>
          <w:color w:val="auto"/>
          <w:spacing w:val="4"/>
          <w:sz w:val="24"/>
          <w:lang w:eastAsia="zh-CN"/>
        </w:rPr>
        <w:t>总务物资</w:t>
      </w:r>
      <w:r>
        <w:rPr>
          <w:rFonts w:hint="eastAsia" w:ascii="仿宋" w:hAnsi="仿宋" w:eastAsia="仿宋" w:cs="仿宋"/>
          <w:color w:val="auto"/>
          <w:spacing w:val="4"/>
          <w:sz w:val="24"/>
        </w:rPr>
        <w:t>集中招标采购工作成果，根据《中华人民共和国</w:t>
      </w:r>
      <w:r>
        <w:rPr>
          <w:rFonts w:hint="eastAsia" w:ascii="仿宋" w:hAnsi="仿宋" w:eastAsia="仿宋" w:cs="仿宋"/>
          <w:color w:val="auto"/>
          <w:spacing w:val="4"/>
          <w:sz w:val="24"/>
          <w:lang w:eastAsia="zh-CN"/>
        </w:rPr>
        <w:t>民法典</w:t>
      </w:r>
      <w:r>
        <w:rPr>
          <w:rFonts w:hint="eastAsia" w:ascii="仿宋" w:hAnsi="仿宋" w:eastAsia="仿宋" w:cs="仿宋"/>
          <w:color w:val="auto"/>
          <w:spacing w:val="4"/>
          <w:sz w:val="24"/>
        </w:rPr>
        <w:t>》</w:t>
      </w:r>
      <w:r>
        <w:rPr>
          <w:rFonts w:hint="eastAsia" w:ascii="仿宋" w:hAnsi="仿宋" w:eastAsia="仿宋" w:cs="仿宋"/>
          <w:color w:val="auto"/>
          <w:spacing w:val="4"/>
          <w:sz w:val="24"/>
          <w:lang w:eastAsia="zh-CN"/>
        </w:rPr>
        <w:t>及</w:t>
      </w:r>
      <w:r>
        <w:rPr>
          <w:rFonts w:hint="eastAsia" w:ascii="仿宋" w:hAnsi="仿宋" w:eastAsia="仿宋" w:cs="仿宋"/>
          <w:color w:val="auto"/>
          <w:spacing w:val="4"/>
          <w:sz w:val="24"/>
          <w:highlight w:val="none"/>
          <w:lang w:eastAsia="zh-CN"/>
        </w:rPr>
        <w:t>其他相关法律、法规之</w:t>
      </w:r>
      <w:r>
        <w:rPr>
          <w:rFonts w:hint="eastAsia" w:ascii="仿宋" w:hAnsi="仿宋" w:eastAsia="仿宋" w:cs="仿宋"/>
          <w:color w:val="auto"/>
          <w:spacing w:val="4"/>
          <w:sz w:val="24"/>
          <w:highlight w:val="none"/>
        </w:rPr>
        <w:t>规定</w:t>
      </w:r>
      <w:r>
        <w:rPr>
          <w:rFonts w:hint="eastAsia" w:ascii="仿宋" w:hAnsi="仿宋" w:eastAsia="仿宋" w:cs="仿宋"/>
          <w:color w:val="auto"/>
          <w:spacing w:val="4"/>
          <w:sz w:val="24"/>
          <w:highlight w:val="none"/>
          <w:lang w:eastAsia="zh-CN"/>
        </w:rPr>
        <w:t>，甲方和乙方</w:t>
      </w:r>
      <w:r>
        <w:rPr>
          <w:rFonts w:hint="eastAsia" w:ascii="仿宋" w:hAnsi="仿宋" w:eastAsia="仿宋" w:cs="仿宋"/>
          <w:color w:val="auto"/>
          <w:spacing w:val="4"/>
          <w:sz w:val="24"/>
          <w:szCs w:val="24"/>
          <w:highlight w:val="none"/>
        </w:rPr>
        <w:t>本着诚实</w:t>
      </w:r>
      <w:r>
        <w:rPr>
          <w:rFonts w:hint="eastAsia" w:ascii="仿宋" w:hAnsi="仿宋" w:eastAsia="仿宋" w:cs="仿宋"/>
          <w:color w:val="auto"/>
          <w:spacing w:val="4"/>
          <w:sz w:val="24"/>
          <w:szCs w:val="24"/>
          <w:highlight w:val="none"/>
          <w:lang w:eastAsia="zh-CN"/>
        </w:rPr>
        <w:t>守信</w:t>
      </w:r>
      <w:r>
        <w:rPr>
          <w:rFonts w:hint="eastAsia" w:ascii="仿宋" w:hAnsi="仿宋" w:eastAsia="仿宋" w:cs="仿宋"/>
          <w:color w:val="auto"/>
          <w:spacing w:val="4"/>
          <w:sz w:val="24"/>
          <w:highlight w:val="none"/>
        </w:rPr>
        <w:t>的原则，就甲方向乙方购</w:t>
      </w:r>
      <w:r>
        <w:rPr>
          <w:rFonts w:hint="eastAsia" w:ascii="仿宋" w:hAnsi="仿宋" w:eastAsia="仿宋" w:cs="仿宋"/>
          <w:color w:val="auto"/>
          <w:spacing w:val="4"/>
          <w:sz w:val="24"/>
          <w:highlight w:val="none"/>
          <w:lang w:eastAsia="zh-CN"/>
        </w:rPr>
        <w:t>买总务物资</w:t>
      </w:r>
      <w:r>
        <w:rPr>
          <w:rFonts w:hint="eastAsia" w:ascii="仿宋" w:hAnsi="仿宋" w:eastAsia="仿宋" w:cs="仿宋"/>
          <w:color w:val="auto"/>
          <w:spacing w:val="4"/>
          <w:sz w:val="24"/>
          <w:highlight w:val="none"/>
        </w:rPr>
        <w:t>（详见</w:t>
      </w:r>
      <w:r>
        <w:rPr>
          <w:rFonts w:hint="eastAsia" w:ascii="仿宋" w:hAnsi="仿宋" w:eastAsia="仿宋" w:cs="仿宋"/>
          <w:color w:val="auto"/>
          <w:spacing w:val="4"/>
          <w:sz w:val="24"/>
          <w:highlight w:val="none"/>
          <w:lang w:val="en-US" w:eastAsia="zh-CN"/>
        </w:rPr>
        <w:t>附件</w:t>
      </w:r>
      <w:r>
        <w:rPr>
          <w:rFonts w:hint="eastAsia" w:ascii="仿宋" w:hAnsi="仿宋" w:eastAsia="仿宋" w:cs="仿宋"/>
          <w:color w:val="auto"/>
          <w:spacing w:val="4"/>
          <w:sz w:val="24"/>
          <w:highlight w:val="none"/>
        </w:rPr>
        <w:t>）的有关事宜制定并签署本协议，经双方协商签订如下：</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lang w:eastAsia="zh-CN"/>
        </w:rPr>
        <w:t>一</w:t>
      </w:r>
      <w:r>
        <w:rPr>
          <w:rFonts w:hint="eastAsia" w:ascii="仿宋" w:hAnsi="仿宋" w:eastAsia="仿宋" w:cs="仿宋"/>
          <w:b/>
          <w:color w:val="auto"/>
          <w:spacing w:val="4"/>
          <w:sz w:val="28"/>
          <w:szCs w:val="28"/>
          <w:highlight w:val="none"/>
        </w:rPr>
        <w:t>、供货标准</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1、乙方必须具有满足甲方耗材需求的供货能力</w:t>
      </w:r>
      <w:r>
        <w:rPr>
          <w:rFonts w:hint="eastAsia" w:ascii="仿宋" w:hAnsi="仿宋" w:eastAsia="仿宋" w:cs="仿宋"/>
          <w:color w:val="auto"/>
          <w:spacing w:val="4"/>
          <w:sz w:val="24"/>
          <w:highlight w:val="none"/>
          <w:lang w:eastAsia="zh-CN"/>
        </w:rPr>
        <w:t>，</w:t>
      </w:r>
      <w:r>
        <w:rPr>
          <w:rFonts w:hint="eastAsia" w:ascii="仿宋" w:hAnsi="仿宋" w:eastAsia="仿宋" w:cs="仿宋"/>
          <w:color w:val="auto"/>
          <w:spacing w:val="4"/>
          <w:sz w:val="24"/>
          <w:highlight w:val="none"/>
        </w:rPr>
        <w:t>供货的品种、规格、数量等，均以甲方采购计划或申请为准，供货的时间以双方最终确认的时间为准，</w:t>
      </w:r>
      <w:r>
        <w:rPr>
          <w:rFonts w:hint="eastAsia" w:ascii="仿宋" w:hAnsi="仿宋" w:eastAsia="仿宋" w:cs="仿宋"/>
          <w:color w:val="auto"/>
          <w:spacing w:val="4"/>
          <w:sz w:val="24"/>
          <w:highlight w:val="none"/>
          <w:lang w:eastAsia="zh-CN"/>
        </w:rPr>
        <w:t>物资</w:t>
      </w:r>
      <w:r>
        <w:rPr>
          <w:rFonts w:hint="eastAsia" w:ascii="仿宋" w:hAnsi="仿宋" w:eastAsia="仿宋" w:cs="仿宋"/>
          <w:color w:val="auto"/>
          <w:spacing w:val="4"/>
          <w:sz w:val="24"/>
          <w:highlight w:val="none"/>
        </w:rPr>
        <w:t>的配送不应超过</w:t>
      </w:r>
      <w:r>
        <w:rPr>
          <w:rFonts w:hint="eastAsia" w:ascii="仿宋" w:hAnsi="仿宋" w:eastAsia="仿宋" w:cs="仿宋"/>
          <w:color w:val="auto"/>
          <w:spacing w:val="4"/>
          <w:sz w:val="24"/>
          <w:highlight w:val="none"/>
          <w:lang w:val="en-US" w:eastAsia="zh-CN"/>
        </w:rPr>
        <w:t>48</w:t>
      </w:r>
      <w:r>
        <w:rPr>
          <w:rFonts w:hint="eastAsia" w:ascii="仿宋" w:hAnsi="仿宋" w:eastAsia="仿宋" w:cs="仿宋"/>
          <w:color w:val="auto"/>
          <w:spacing w:val="4"/>
          <w:sz w:val="24"/>
          <w:highlight w:val="none"/>
        </w:rPr>
        <w:t>小时（不可抗力除外）。急需</w:t>
      </w:r>
      <w:r>
        <w:rPr>
          <w:rFonts w:hint="eastAsia" w:ascii="仿宋" w:hAnsi="仿宋" w:eastAsia="仿宋" w:cs="仿宋"/>
          <w:color w:val="auto"/>
          <w:spacing w:val="4"/>
          <w:sz w:val="24"/>
          <w:highlight w:val="none"/>
          <w:lang w:eastAsia="zh-CN"/>
        </w:rPr>
        <w:t>物资</w:t>
      </w:r>
      <w:r>
        <w:rPr>
          <w:rFonts w:hint="eastAsia" w:ascii="仿宋" w:hAnsi="仿宋" w:eastAsia="仿宋" w:cs="仿宋"/>
          <w:color w:val="auto"/>
          <w:spacing w:val="4"/>
          <w:sz w:val="24"/>
          <w:highlight w:val="none"/>
        </w:rPr>
        <w:t>采购，乙方应积极配合，采取一切办法必须保证急需耗材按时供应。</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w:t>
      </w:r>
      <w:r>
        <w:rPr>
          <w:rFonts w:hint="eastAsia" w:ascii="仿宋" w:hAnsi="仿宋" w:eastAsia="仿宋" w:cs="仿宋"/>
          <w:color w:val="auto"/>
          <w:spacing w:val="4"/>
          <w:sz w:val="24"/>
          <w:highlight w:val="none"/>
          <w:lang w:val="en-US" w:eastAsia="zh-CN"/>
        </w:rPr>
        <w:t xml:space="preserve"> 2</w:t>
      </w:r>
      <w:r>
        <w:rPr>
          <w:rFonts w:hint="eastAsia" w:ascii="仿宋" w:hAnsi="仿宋" w:eastAsia="仿宋" w:cs="仿宋"/>
          <w:color w:val="auto"/>
          <w:spacing w:val="4"/>
          <w:sz w:val="24"/>
          <w:highlight w:val="none"/>
        </w:rPr>
        <w:t>、由</w:t>
      </w:r>
      <w:r>
        <w:rPr>
          <w:rFonts w:hint="eastAsia" w:ascii="仿宋" w:hAnsi="仿宋" w:eastAsia="仿宋" w:cs="仿宋"/>
          <w:color w:val="auto"/>
          <w:spacing w:val="4"/>
          <w:sz w:val="24"/>
          <w:highlight w:val="none"/>
          <w:lang w:eastAsia="zh-CN"/>
        </w:rPr>
        <w:t>乙方提供的产品（包括免费提供的产品）</w:t>
      </w:r>
      <w:r>
        <w:rPr>
          <w:rFonts w:hint="eastAsia" w:ascii="仿宋" w:hAnsi="仿宋" w:eastAsia="仿宋" w:cs="仿宋"/>
          <w:color w:val="auto"/>
          <w:spacing w:val="4"/>
          <w:sz w:val="24"/>
          <w:highlight w:val="none"/>
        </w:rPr>
        <w:t xml:space="preserve">造成的不良事件、医疗纠纷等，均由乙方承担赔偿、善后处理责任。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7</w:t>
      </w:r>
      <w:r>
        <w:rPr>
          <w:rFonts w:hint="eastAsia" w:ascii="仿宋" w:hAnsi="仿宋" w:eastAsia="仿宋" w:cs="仿宋"/>
          <w:color w:val="auto"/>
          <w:spacing w:val="4"/>
          <w:sz w:val="24"/>
          <w:highlight w:val="none"/>
        </w:rPr>
        <w:t xml:space="preserve">、供货期内，乙方工作人员必须按照甲方规定的工作流程进行，否则，甲方有权拒绝办理出入库手续、付款手续，一切损失由乙方自行承担。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lang w:eastAsia="zh-CN"/>
        </w:rPr>
        <w:t>二</w:t>
      </w:r>
      <w:r>
        <w:rPr>
          <w:rFonts w:hint="eastAsia" w:ascii="仿宋" w:hAnsi="仿宋" w:eastAsia="仿宋" w:cs="仿宋"/>
          <w:b/>
          <w:color w:val="auto"/>
          <w:spacing w:val="4"/>
          <w:sz w:val="28"/>
          <w:szCs w:val="28"/>
          <w:highlight w:val="none"/>
        </w:rPr>
        <w:t>、</w:t>
      </w:r>
      <w:r>
        <w:rPr>
          <w:rFonts w:hint="eastAsia" w:ascii="仿宋" w:hAnsi="仿宋" w:eastAsia="仿宋" w:cs="仿宋"/>
          <w:b/>
          <w:color w:val="auto"/>
          <w:spacing w:val="4"/>
          <w:sz w:val="28"/>
          <w:szCs w:val="28"/>
          <w:highlight w:val="none"/>
          <w:lang w:eastAsia="zh-CN"/>
        </w:rPr>
        <w:t>物资</w:t>
      </w:r>
      <w:r>
        <w:rPr>
          <w:rFonts w:hint="eastAsia" w:ascii="仿宋" w:hAnsi="仿宋" w:eastAsia="仿宋" w:cs="仿宋"/>
          <w:b/>
          <w:color w:val="auto"/>
          <w:spacing w:val="4"/>
          <w:sz w:val="28"/>
          <w:szCs w:val="28"/>
          <w:highlight w:val="none"/>
        </w:rPr>
        <w:t>的配送</w:t>
      </w:r>
      <w:r>
        <w:rPr>
          <w:rFonts w:hint="eastAsia" w:ascii="仿宋" w:hAnsi="仿宋" w:eastAsia="仿宋" w:cs="仿宋"/>
          <w:b/>
          <w:color w:val="auto"/>
          <w:spacing w:val="4"/>
          <w:sz w:val="28"/>
          <w:szCs w:val="28"/>
          <w:highlight w:val="none"/>
          <w:lang w:eastAsia="zh-CN"/>
        </w:rPr>
        <w:t>及服务</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1、订货：甲方可通过签定合同或口头或电话通知等方式向乙方进行购货申请。甲方临时性采购时，应给乙方合理的备货、送货时间。</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w:t>
      </w: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、乙方所供产品在甲方接收前所产生的运送费用及风险由乙方承担。甲方办理验收手续后的所有产品的保管费用由甲方承担。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3</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方负责对甲方所需的货品进行配送。甲方发送的一般订单，</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方应在发送当日回复，并在订单发送时间起</w:t>
      </w:r>
      <w:r>
        <w:rPr>
          <w:rFonts w:hint="eastAsia" w:ascii="仿宋" w:hAnsi="仿宋" w:eastAsia="仿宋" w:cs="仿宋"/>
          <w:color w:val="auto"/>
          <w:spacing w:val="4"/>
          <w:sz w:val="24"/>
          <w:highlight w:val="none"/>
          <w:lang w:val="en-US" w:eastAsia="zh-CN"/>
        </w:rPr>
        <w:t>48</w:t>
      </w:r>
      <w:r>
        <w:rPr>
          <w:rFonts w:hint="default" w:ascii="仿宋" w:hAnsi="仿宋" w:eastAsia="仿宋" w:cs="仿宋"/>
          <w:color w:val="auto"/>
          <w:spacing w:val="4"/>
          <w:sz w:val="24"/>
          <w:highlight w:val="none"/>
          <w:lang w:eastAsia="zh-CN"/>
        </w:rPr>
        <w:t>小时内完成配送；紧急订单，应在订单发送时间起4小时内回复并完成配送；特急订单，应在订单发送时间起 2 小时内回复并完成配送。</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方配送交货地点由甲方指定。</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textAlignment w:val="auto"/>
        <w:outlineLvl w:val="9"/>
        <w:rPr>
          <w:rFonts w:hint="eastAsia"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方保证所供产品质量符合国家各级药品监督管理部门规定的标准，产品包装、标识、标签、说明书等应符合国家相关规定及货物运输要求。乙方保证严格按照法定的运输管理要求及耗材储存、包装标准等将产品按时送至甲方，并保证就运输过程中发生的货品灭失及因包装或运输不善等原因导致货品损坏或变质等承担全部责任，并对因此给甲方造成的损失承担赔偿责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lang w:eastAsia="zh-CN"/>
        </w:rPr>
        <w:t>三</w:t>
      </w:r>
      <w:r>
        <w:rPr>
          <w:rFonts w:hint="eastAsia" w:ascii="仿宋" w:hAnsi="仿宋" w:eastAsia="仿宋" w:cs="仿宋"/>
          <w:b/>
          <w:color w:val="auto"/>
          <w:spacing w:val="4"/>
          <w:sz w:val="28"/>
          <w:szCs w:val="28"/>
          <w:highlight w:val="none"/>
        </w:rPr>
        <w:t>、验收方式</w:t>
      </w:r>
      <w:r>
        <w:rPr>
          <w:rFonts w:hint="eastAsia" w:ascii="仿宋" w:hAnsi="仿宋" w:eastAsia="仿宋" w:cs="仿宋"/>
          <w:b/>
          <w:color w:val="auto"/>
          <w:spacing w:val="4"/>
          <w:sz w:val="28"/>
          <w:szCs w:val="28"/>
          <w:highlight w:val="none"/>
          <w:lang w:eastAsia="zh-CN"/>
        </w:rPr>
        <w:t>及手续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    1、</w:t>
      </w:r>
      <w:r>
        <w:rPr>
          <w:rFonts w:hint="eastAsia" w:ascii="仿宋" w:hAnsi="仿宋" w:eastAsia="仿宋" w:cs="仿宋"/>
          <w:color w:val="auto"/>
          <w:spacing w:val="4"/>
          <w:sz w:val="24"/>
          <w:highlight w:val="none"/>
          <w:lang w:eastAsia="zh-CN"/>
        </w:rPr>
        <w:t>交货时甲方有权要求乙方提供相关法律法规规定的证件、材料、票据等书面文件。</w:t>
      </w:r>
      <w:r>
        <w:rPr>
          <w:rFonts w:hint="eastAsia" w:ascii="仿宋" w:hAnsi="仿宋" w:eastAsia="仿宋" w:cs="仿宋"/>
          <w:color w:val="auto"/>
          <w:spacing w:val="4"/>
          <w:sz w:val="24"/>
          <w:highlight w:val="none"/>
        </w:rPr>
        <w:t>甲乙双方共同开箱验收。</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乙方保证所供产品为正规合格产品，耗材验收中若发现有不合格产品、或与订单不符、或违反相关规定的，甲方有权拒收。</w:t>
      </w:r>
      <w:r>
        <w:rPr>
          <w:rFonts w:hint="eastAsia" w:ascii="仿宋" w:hAnsi="仿宋" w:eastAsia="仿宋" w:cs="仿宋"/>
          <w:color w:val="auto"/>
          <w:spacing w:val="4"/>
          <w:sz w:val="24"/>
          <w:highlight w:val="none"/>
          <w:lang w:eastAsia="zh-CN"/>
        </w:rPr>
        <w:t>乙方应按照甲方要求及时更换被拒收产品，并承担由此对甲方造成的一切损失。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3、</w:t>
      </w:r>
      <w:r>
        <w:rPr>
          <w:rFonts w:hint="eastAsia" w:ascii="仿宋" w:hAnsi="仿宋" w:eastAsia="仿宋" w:cs="仿宋"/>
          <w:color w:val="auto"/>
          <w:spacing w:val="4"/>
          <w:sz w:val="24"/>
          <w:highlight w:val="none"/>
        </w:rPr>
        <w:t>验货时双方人员均须在场，对存在的问题及时反馈和解决。完成验货后，除不可抗力、耗材本身质量因素、乙方自身供货原因外，甲方应在合同规定时限内支付相应的款项。</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lang w:eastAsia="zh-CN"/>
        </w:rPr>
        <w:t>四</w:t>
      </w:r>
      <w:r>
        <w:rPr>
          <w:rFonts w:hint="eastAsia" w:ascii="仿宋" w:hAnsi="仿宋" w:eastAsia="仿宋" w:cs="仿宋"/>
          <w:b/>
          <w:color w:val="auto"/>
          <w:spacing w:val="4"/>
          <w:sz w:val="28"/>
          <w:szCs w:val="28"/>
          <w:highlight w:val="none"/>
        </w:rPr>
        <w:t>、货款支付</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1、付款方式：</w:t>
      </w:r>
      <w:r>
        <w:rPr>
          <w:rFonts w:hint="eastAsia" w:ascii="仿宋" w:hAnsi="仿宋" w:eastAsia="仿宋" w:cs="仿宋"/>
          <w:color w:val="auto"/>
          <w:spacing w:val="4"/>
          <w:sz w:val="24"/>
          <w:highlight w:val="none"/>
          <w:lang w:eastAsia="zh-CN"/>
        </w:rPr>
        <w:t>按医院财务制度支付</w:t>
      </w:r>
      <w:r>
        <w:rPr>
          <w:rFonts w:hint="eastAsia" w:ascii="仿宋" w:hAnsi="仿宋" w:eastAsia="仿宋" w:cs="仿宋"/>
          <w:color w:val="auto"/>
          <w:spacing w:val="4"/>
          <w:sz w:val="24"/>
          <w:highlight w:val="none"/>
        </w:rPr>
        <w:t>。甲方须通过转账完成付款义务，双方在合同中注明的账号为双方结算账户，若有变更应及时书面通知另一方。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2、票据开具：乙方所供产品的发票需按照甲方发票模板开具，否则甲方有权拒绝办理出入库、付款等事宜。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3、付款期限：款项支付按甲方财务付款制度、流程进行。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4、如每年乙方供货不及时超过三次（不可抗力除外），</w:t>
      </w:r>
      <w:r>
        <w:rPr>
          <w:rFonts w:hint="eastAsia" w:ascii="仿宋" w:hAnsi="仿宋" w:eastAsia="仿宋" w:cs="仿宋"/>
          <w:color w:val="auto"/>
          <w:spacing w:val="4"/>
          <w:sz w:val="24"/>
          <w:highlight w:val="none"/>
          <w:lang w:eastAsia="zh-CN"/>
        </w:rPr>
        <w:t>甲方有权解除本合同，乙方应承担</w:t>
      </w:r>
      <w:r>
        <w:rPr>
          <w:rFonts w:hint="eastAsia" w:ascii="仿宋" w:hAnsi="仿宋" w:eastAsia="仿宋" w:cs="仿宋"/>
          <w:color w:val="auto"/>
          <w:spacing w:val="4"/>
          <w:sz w:val="24"/>
          <w:highlight w:val="none"/>
        </w:rPr>
        <w:t>年供货量总额的</w:t>
      </w:r>
      <w:r>
        <w:rPr>
          <w:rFonts w:hint="eastAsia" w:ascii="仿宋" w:hAnsi="仿宋" w:eastAsia="仿宋" w:cs="仿宋"/>
          <w:color w:val="auto"/>
          <w:spacing w:val="4"/>
          <w:sz w:val="24"/>
          <w:highlight w:val="none"/>
          <w:lang w:eastAsia="zh-CN"/>
        </w:rPr>
        <w:t>百分之十的违约金。</w:t>
      </w:r>
      <w:r>
        <w:rPr>
          <w:rFonts w:hint="eastAsia" w:ascii="仿宋" w:hAnsi="仿宋" w:eastAsia="仿宋" w:cs="仿宋"/>
          <w:color w:val="auto"/>
          <w:spacing w:val="4"/>
          <w:sz w:val="24"/>
          <w:highlight w:val="none"/>
          <w:lang w:val="en-US" w:eastAsia="zh-CN"/>
        </w:rPr>
        <w:t xml:space="preserve">  </w:t>
      </w:r>
      <w:r>
        <w:rPr>
          <w:rFonts w:hint="eastAsia" w:ascii="仿宋" w:hAnsi="仿宋" w:eastAsia="仿宋" w:cs="仿宋"/>
          <w:color w:val="auto"/>
          <w:spacing w:val="4"/>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lang w:eastAsia="zh-CN"/>
        </w:rPr>
        <w:t>五</w:t>
      </w:r>
      <w:r>
        <w:rPr>
          <w:rFonts w:hint="eastAsia" w:ascii="仿宋" w:hAnsi="仿宋" w:eastAsia="仿宋" w:cs="仿宋"/>
          <w:b/>
          <w:color w:val="auto"/>
          <w:spacing w:val="4"/>
          <w:sz w:val="28"/>
          <w:szCs w:val="28"/>
          <w:highlight w:val="none"/>
        </w:rPr>
        <w:t>、退货处理</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1、甲方使用期间，如存在质量问题导致不良事件的产品，乙方应无条件给予退换货处理，并承担由此产生的所有经济、人事责任。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、货物售出</w:t>
      </w:r>
      <w:r>
        <w:rPr>
          <w:rFonts w:hint="eastAsia" w:ascii="仿宋" w:hAnsi="仿宋" w:eastAsia="仿宋" w:cs="仿宋"/>
          <w:color w:val="auto"/>
          <w:spacing w:val="4"/>
          <w:sz w:val="24"/>
          <w:highlight w:val="none"/>
          <w:lang w:eastAsia="zh-CN"/>
        </w:rPr>
        <w:t>后</w:t>
      </w:r>
      <w:r>
        <w:rPr>
          <w:rFonts w:hint="eastAsia" w:ascii="仿宋" w:hAnsi="仿宋" w:eastAsia="仿宋" w:cs="仿宋"/>
          <w:color w:val="auto"/>
          <w:spacing w:val="4"/>
          <w:sz w:val="24"/>
          <w:highlight w:val="none"/>
        </w:rPr>
        <w:t>，对未使用完要求退货的货物，甲方应先征得乙方同意，且所退货物必须外包装良好、未破损丢失、不得影响乙方正常销售。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lang w:eastAsia="zh-CN"/>
        </w:rPr>
        <w:t>六</w:t>
      </w:r>
      <w:r>
        <w:rPr>
          <w:rFonts w:hint="eastAsia" w:ascii="仿宋" w:hAnsi="仿宋" w:eastAsia="仿宋" w:cs="仿宋"/>
          <w:b/>
          <w:color w:val="auto"/>
          <w:spacing w:val="4"/>
          <w:sz w:val="28"/>
          <w:szCs w:val="28"/>
          <w:highlight w:val="none"/>
        </w:rPr>
        <w:t>、违约责任</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合同一经生效，乙方未经甲方书面同意违反合同的相关约定或擅自解除合同的，需向甲方支付年供货量总额的</w:t>
      </w:r>
      <w:r>
        <w:rPr>
          <w:rFonts w:hint="eastAsia" w:ascii="仿宋" w:hAnsi="仿宋" w:eastAsia="仿宋" w:cs="仿宋"/>
          <w:color w:val="auto"/>
          <w:spacing w:val="4"/>
          <w:sz w:val="24"/>
          <w:highlight w:val="none"/>
          <w:lang w:eastAsia="zh-CN"/>
        </w:rPr>
        <w:t>百分之二十</w:t>
      </w:r>
      <w:r>
        <w:rPr>
          <w:rFonts w:hint="eastAsia" w:ascii="仿宋" w:hAnsi="仿宋" w:eastAsia="仿宋" w:cs="仿宋"/>
          <w:color w:val="auto"/>
          <w:spacing w:val="4"/>
          <w:sz w:val="24"/>
          <w:highlight w:val="none"/>
        </w:rPr>
        <w:t>作为违约金。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lang w:eastAsia="zh-CN"/>
        </w:rPr>
        <w:t>七</w:t>
      </w:r>
      <w:r>
        <w:rPr>
          <w:rFonts w:hint="eastAsia" w:ascii="仿宋" w:hAnsi="仿宋" w:eastAsia="仿宋" w:cs="仿宋"/>
          <w:b/>
          <w:color w:val="auto"/>
          <w:spacing w:val="4"/>
          <w:sz w:val="28"/>
          <w:szCs w:val="28"/>
          <w:highlight w:val="none"/>
        </w:rPr>
        <w:t>、不可抗力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甲乙双方如由于不可抗力的原因不能履行合同，应及时向对方通报不能履行或者不能完全履行的理由，在取得有关证明后，延迟履行、部分履行或者不履行合同，并根据情况可部分或全部免除责任。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lang w:eastAsia="zh-CN"/>
        </w:rPr>
        <w:t>八</w:t>
      </w:r>
      <w:r>
        <w:rPr>
          <w:rFonts w:hint="eastAsia" w:ascii="仿宋" w:hAnsi="仿宋" w:eastAsia="仿宋" w:cs="仿宋"/>
          <w:b/>
          <w:color w:val="auto"/>
          <w:spacing w:val="4"/>
          <w:sz w:val="28"/>
          <w:szCs w:val="28"/>
          <w:highlight w:val="none"/>
        </w:rPr>
        <w:t>、解决合同纠纷方式</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本合同若有争议，双方协商解决，</w:t>
      </w:r>
      <w:r>
        <w:rPr>
          <w:rFonts w:hint="eastAsia" w:ascii="仿宋" w:hAnsi="仿宋" w:eastAsia="仿宋" w:cs="仿宋"/>
          <w:color w:val="auto"/>
          <w:spacing w:val="4"/>
          <w:sz w:val="24"/>
          <w:highlight w:val="none"/>
          <w:lang w:eastAsia="zh-CN"/>
        </w:rPr>
        <w:t>协商不成的依法向</w:t>
      </w:r>
      <w:r>
        <w:rPr>
          <w:rFonts w:hint="eastAsia" w:ascii="仿宋" w:hAnsi="仿宋" w:eastAsia="仿宋" w:cs="仿宋"/>
          <w:color w:val="auto"/>
          <w:spacing w:val="4"/>
          <w:sz w:val="24"/>
          <w:highlight w:val="none"/>
        </w:rPr>
        <w:t>甲方所在地</w:t>
      </w:r>
      <w:r>
        <w:rPr>
          <w:rFonts w:hint="eastAsia" w:ascii="仿宋" w:hAnsi="仿宋" w:eastAsia="仿宋" w:cs="仿宋"/>
          <w:color w:val="auto"/>
          <w:spacing w:val="4"/>
          <w:sz w:val="24"/>
          <w:highlight w:val="none"/>
          <w:lang w:eastAsia="zh-CN"/>
        </w:rPr>
        <w:t>人民法院起诉</w:t>
      </w:r>
      <w:r>
        <w:rPr>
          <w:rFonts w:hint="eastAsia" w:ascii="仿宋" w:hAnsi="仿宋" w:eastAsia="仿宋" w:cs="仿宋"/>
          <w:color w:val="auto"/>
          <w:spacing w:val="4"/>
          <w:sz w:val="24"/>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color w:val="auto"/>
          <w:spacing w:val="4"/>
          <w:kern w:val="2"/>
          <w:sz w:val="28"/>
          <w:szCs w:val="28"/>
          <w:highlight w:val="none"/>
          <w:lang w:val="en-US" w:eastAsia="zh-CN" w:bidi="ar-SA"/>
        </w:rPr>
      </w:pPr>
      <w:r>
        <w:rPr>
          <w:rFonts w:hint="eastAsia" w:ascii="仿宋" w:hAnsi="仿宋" w:eastAsia="仿宋" w:cs="仿宋"/>
          <w:b/>
          <w:color w:val="auto"/>
          <w:spacing w:val="4"/>
          <w:kern w:val="2"/>
          <w:sz w:val="28"/>
          <w:szCs w:val="28"/>
          <w:highlight w:val="none"/>
          <w:lang w:val="en-US" w:eastAsia="zh-CN" w:bidi="ar-SA"/>
        </w:rPr>
        <w:t>九、协议的修改和补充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合同期内，本合同若与国家相关文件及相关法律要求相违背，则按照国家相关文件要求办理，需变更相应条款的，双方将协商变更或终止本合同。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lang w:eastAsia="zh-CN"/>
        </w:rPr>
        <w:t>十</w:t>
      </w:r>
      <w:r>
        <w:rPr>
          <w:rFonts w:hint="eastAsia" w:ascii="仿宋" w:hAnsi="仿宋" w:eastAsia="仿宋" w:cs="仿宋"/>
          <w:b/>
          <w:color w:val="auto"/>
          <w:spacing w:val="4"/>
          <w:sz w:val="28"/>
          <w:szCs w:val="28"/>
          <w:highlight w:val="none"/>
        </w:rPr>
        <w:t>、其他</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1、本合同未尽事宜，可由甲乙双方商定，并签署书面补充协议。</w:t>
      </w:r>
      <w:r>
        <w:rPr>
          <w:rFonts w:hint="eastAsia" w:ascii="仿宋" w:hAnsi="仿宋" w:eastAsia="仿宋" w:cs="仿宋"/>
          <w:spacing w:val="4"/>
          <w:sz w:val="24"/>
          <w:lang w:val="en-US" w:eastAsia="zh-CN"/>
        </w:rPr>
        <w:t>合同期满后，经甲乙双方协商一致，可续签合同。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spacing w:val="4"/>
          <w:sz w:val="24"/>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本合同自双方委托代理人签字和单位盖章之日起生效。一式</w:t>
      </w:r>
      <w:r>
        <w:rPr>
          <w:rFonts w:hint="eastAsia" w:ascii="仿宋" w:hAnsi="仿宋" w:eastAsia="仿宋" w:cs="仿宋"/>
          <w:color w:val="auto"/>
          <w:spacing w:val="4"/>
          <w:sz w:val="24"/>
          <w:highlight w:val="none"/>
          <w:lang w:eastAsia="zh-CN"/>
        </w:rPr>
        <w:t>肆</w:t>
      </w:r>
      <w:r>
        <w:rPr>
          <w:rFonts w:hint="eastAsia" w:ascii="仿宋" w:hAnsi="仿宋" w:eastAsia="仿宋" w:cs="仿宋"/>
          <w:color w:val="auto"/>
          <w:spacing w:val="4"/>
          <w:sz w:val="24"/>
          <w:highlight w:val="none"/>
        </w:rPr>
        <w:t>份，甲</w:t>
      </w:r>
      <w:r>
        <w:rPr>
          <w:rFonts w:hint="eastAsia" w:ascii="仿宋" w:hAnsi="仿宋" w:eastAsia="仿宋" w:cs="仿宋"/>
          <w:spacing w:val="4"/>
          <w:sz w:val="24"/>
        </w:rPr>
        <w:t>方执</w:t>
      </w:r>
      <w:r>
        <w:rPr>
          <w:rFonts w:hint="eastAsia" w:ascii="仿宋" w:hAnsi="仿宋" w:eastAsia="仿宋" w:cs="仿宋"/>
          <w:spacing w:val="4"/>
          <w:sz w:val="24"/>
          <w:lang w:eastAsia="zh-CN"/>
        </w:rPr>
        <w:t>叁</w:t>
      </w:r>
      <w:r>
        <w:rPr>
          <w:rFonts w:hint="eastAsia" w:ascii="仿宋" w:hAnsi="仿宋" w:eastAsia="仿宋" w:cs="仿宋"/>
          <w:spacing w:val="4"/>
          <w:sz w:val="24"/>
        </w:rPr>
        <w:t>份</w:t>
      </w:r>
      <w:r>
        <w:rPr>
          <w:rFonts w:hint="eastAsia" w:ascii="仿宋" w:hAnsi="仿宋" w:eastAsia="仿宋" w:cs="仿宋"/>
          <w:spacing w:val="4"/>
          <w:sz w:val="24"/>
          <w:lang w:eastAsia="zh-CN"/>
        </w:rPr>
        <w:t>，乙方执壹份同具有同等法律效力。</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3</w:t>
      </w:r>
      <w:r>
        <w:rPr>
          <w:rFonts w:hint="eastAsia" w:ascii="仿宋" w:hAnsi="仿宋" w:eastAsia="仿宋" w:cs="仿宋"/>
          <w:spacing w:val="4"/>
          <w:sz w:val="24"/>
        </w:rPr>
        <w:t>、乙方委托代理人为乙方指定的业务人员，甲方的收货人为甲方的相关工作人员，任何一方的人事变动不影响本协议</w:t>
      </w:r>
      <w:r>
        <w:rPr>
          <w:rFonts w:hint="eastAsia" w:ascii="仿宋" w:hAnsi="仿宋" w:eastAsia="仿宋" w:cs="仿宋"/>
          <w:spacing w:val="4"/>
          <w:sz w:val="24"/>
          <w:lang w:eastAsia="zh-CN"/>
        </w:rPr>
        <w:t>的法律效应。</w:t>
      </w:r>
      <w:r>
        <w:rPr>
          <w:rFonts w:hint="eastAsia" w:ascii="仿宋" w:hAnsi="仿宋" w:eastAsia="仿宋" w:cs="仿宋"/>
          <w:spacing w:val="4"/>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color w:val="auto"/>
          <w:spacing w:val="4"/>
          <w:sz w:val="24"/>
          <w:lang w:eastAsia="zh-CN"/>
        </w:rPr>
      </w:pPr>
      <w:r>
        <w:rPr>
          <w:rFonts w:hint="eastAsia" w:ascii="仿宋" w:hAnsi="仿宋" w:eastAsia="仿宋" w:cs="仿宋"/>
          <w:spacing w:val="4"/>
          <w:sz w:val="24"/>
          <w:lang w:val="en-US" w:eastAsia="zh-CN"/>
        </w:rPr>
        <w:t>4、</w:t>
      </w:r>
      <w:r>
        <w:rPr>
          <w:rFonts w:hint="eastAsia" w:ascii="仿宋" w:hAnsi="仿宋" w:eastAsia="仿宋" w:cs="仿宋"/>
          <w:color w:val="auto"/>
          <w:spacing w:val="4"/>
          <w:sz w:val="24"/>
        </w:rPr>
        <w:t>本合同自</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日起</w:t>
      </w:r>
      <w:r>
        <w:rPr>
          <w:rFonts w:hint="eastAsia" w:ascii="仿宋" w:hAnsi="仿宋" w:eastAsia="仿宋" w:cs="仿宋"/>
          <w:color w:val="auto"/>
          <w:spacing w:val="4"/>
          <w:sz w:val="24"/>
          <w:lang w:eastAsia="zh-CN"/>
        </w:rPr>
        <w:t>生效</w:t>
      </w:r>
      <w:r>
        <w:rPr>
          <w:rFonts w:hint="eastAsia" w:ascii="仿宋" w:hAnsi="仿宋" w:eastAsia="仿宋" w:cs="仿宋"/>
          <w:color w:val="auto"/>
          <w:spacing w:val="4"/>
          <w:sz w:val="24"/>
        </w:rPr>
        <w:t>至</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w:t>
      </w:r>
      <w:r>
        <w:rPr>
          <w:rFonts w:hint="eastAsia" w:ascii="仿宋" w:hAnsi="仿宋" w:eastAsia="仿宋" w:cs="仿宋"/>
          <w:color w:val="auto"/>
          <w:spacing w:val="4"/>
          <w:sz w:val="24"/>
          <w:lang w:eastAsia="zh-CN"/>
        </w:rPr>
        <w:t>终</w:t>
      </w:r>
      <w:r>
        <w:rPr>
          <w:rFonts w:hint="eastAsia" w:ascii="仿宋" w:hAnsi="仿宋" w:eastAsia="仿宋" w:cs="仿宋"/>
          <w:color w:val="auto"/>
          <w:spacing w:val="4"/>
          <w:sz w:val="24"/>
        </w:rPr>
        <w:t>止</w:t>
      </w:r>
      <w:r>
        <w:rPr>
          <w:rFonts w:hint="eastAsia" w:ascii="仿宋" w:hAnsi="仿宋" w:eastAsia="仿宋" w:cs="仿宋"/>
          <w:color w:val="auto"/>
          <w:spacing w:val="4"/>
          <w:sz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spacing w:val="4"/>
          <w:sz w:val="28"/>
          <w:szCs w:val="28"/>
          <w:lang w:eastAsia="zh-CN"/>
        </w:rPr>
      </w:pPr>
      <w:r>
        <w:rPr>
          <w:rFonts w:hint="eastAsia" w:ascii="仿宋" w:hAnsi="仿宋" w:eastAsia="仿宋" w:cs="仿宋"/>
          <w:b/>
          <w:spacing w:val="4"/>
          <w:sz w:val="28"/>
          <w:szCs w:val="28"/>
          <w:lang w:eastAsia="zh-CN"/>
        </w:rPr>
        <w:t>十二、附则</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合同附件及形成本项目的招标文件、投标文件、《成交通知书》均为本合同不可分割的组成部分，与本合同具有同等的法律效力。</w:t>
      </w:r>
      <w:r>
        <w:rPr>
          <w:rFonts w:hint="eastAsia" w:ascii="仿宋" w:hAnsi="仿宋" w:eastAsia="仿宋" w:cs="仿宋"/>
          <w:spacing w:val="4"/>
          <w:sz w:val="24"/>
          <w:lang w:val="en-US" w:eastAsia="zh-CN"/>
        </w:rPr>
        <w:t xml:space="preserve">   </w:t>
      </w:r>
      <w:r>
        <w:rPr>
          <w:rFonts w:hint="eastAsia" w:ascii="仿宋" w:hAnsi="仿宋" w:eastAsia="仿宋" w:cs="仿宋"/>
          <w:b/>
          <w:spacing w:val="4"/>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rPr>
      </w:pPr>
    </w:p>
    <w:p>
      <w:pPr>
        <w:spacing w:line="360" w:lineRule="auto"/>
        <w:rPr>
          <w:rFonts w:hint="eastAsia" w:ascii="仿宋" w:hAnsi="仿宋" w:eastAsia="仿宋" w:cs="仿宋"/>
          <w:spacing w:val="4"/>
          <w:sz w:val="24"/>
        </w:rPr>
      </w:pPr>
      <w:r>
        <w:rPr>
          <w:rFonts w:hint="eastAsia" w:ascii="仿宋" w:hAnsi="仿宋" w:eastAsia="仿宋" w:cs="仿宋"/>
          <w:spacing w:val="4"/>
          <w:sz w:val="24"/>
        </w:rPr>
        <w:t>需方（甲方）：                         供货商（乙方）：</w:t>
      </w:r>
    </w:p>
    <w:p>
      <w:pPr>
        <w:spacing w:line="360" w:lineRule="auto"/>
        <w:rPr>
          <w:rFonts w:hint="eastAsia" w:ascii="仿宋" w:hAnsi="仿宋" w:eastAsia="仿宋" w:cs="仿宋"/>
          <w:spacing w:val="4"/>
          <w:sz w:val="24"/>
        </w:rPr>
      </w:pPr>
      <w:r>
        <w:rPr>
          <w:rFonts w:hint="eastAsia" w:ascii="仿宋" w:hAnsi="仿宋" w:eastAsia="仿宋" w:cs="仿宋"/>
          <w:spacing w:val="4"/>
          <w:sz w:val="24"/>
        </w:rPr>
        <w:t>(盖章)：                               (盖章)：</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pPr>
        <w:spacing w:line="360" w:lineRule="auto"/>
        <w:rPr>
          <w:rFonts w:hint="eastAsia" w:ascii="仿宋" w:hAnsi="仿宋" w:eastAsia="仿宋" w:cs="仿宋"/>
          <w:spacing w:val="4"/>
          <w:sz w:val="24"/>
        </w:rPr>
      </w:pPr>
      <w:r>
        <w:rPr>
          <w:rFonts w:hint="eastAsia" w:ascii="仿宋" w:hAnsi="仿宋" w:eastAsia="仿宋" w:cs="仿宋"/>
          <w:spacing w:val="4"/>
          <w:sz w:val="24"/>
        </w:rPr>
        <w:t>代理人（签字）：                       代理人（签字）：</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年    月    日                            年    月    日  </w:t>
      </w:r>
    </w:p>
    <w:p>
      <w:pPr>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格式见附件2（不得缺项空项，且必须有总价）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229" w:type="dxa"/>
            <w:tcBorders>
              <w:top w:val="single" w:color="auto" w:sz="4" w:space="0"/>
              <w:bottom w:val="single" w:color="auto" w:sz="4" w:space="0"/>
            </w:tcBorders>
            <w:vAlign w:val="center"/>
          </w:tcPr>
          <w:p>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包含配送、售后、响应速度等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tc>
        <w:tc>
          <w:tcPr>
            <w:tcW w:w="5229"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33636"/>
      <w:bookmarkStart w:id="1" w:name="_Toc320878640"/>
      <w:bookmarkStart w:id="2" w:name="_Toc17030"/>
      <w:bookmarkStart w:id="3" w:name="_Toc258354146"/>
      <w:bookmarkStart w:id="4" w:name="_Toc337554724"/>
      <w:bookmarkStart w:id="5" w:name="_Toc337475854"/>
      <w:bookmarkStart w:id="6" w:name="_Toc15313"/>
      <w:bookmarkStart w:id="7" w:name="_Toc219626747"/>
      <w:bookmarkStart w:id="8" w:name="_Toc258360158"/>
      <w:bookmarkStart w:id="9" w:name="_Toc9548"/>
      <w:bookmarkStart w:id="10" w:name="_Toc258360269"/>
      <w:bookmarkStart w:id="11" w:name="_Toc261708863"/>
      <w:bookmarkStart w:id="12" w:name="_Toc248896063"/>
      <w:bookmarkStart w:id="13" w:name="_Toc10762"/>
      <w:bookmarkStart w:id="14" w:name="_Toc30421925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10"/>
        <w:tblW w:w="8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3"/>
        <w:gridCol w:w="89"/>
        <w:gridCol w:w="1601"/>
        <w:gridCol w:w="1283"/>
        <w:gridCol w:w="2650"/>
        <w:gridCol w:w="850"/>
        <w:gridCol w:w="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257" w:type="dxa"/>
          <w:trHeight w:val="540" w:hRule="atLeast"/>
        </w:trPr>
        <w:tc>
          <w:tcPr>
            <w:tcW w:w="130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1"/>
                <w:lang w:val="en-US" w:eastAsia="zh-CN" w:bidi="ar"/>
              </w:rPr>
              <w:t>（按照公告序号，不可修改）</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1"/>
                <w:lang w:val="en-US" w:eastAsia="zh-CN" w:bidi="ar"/>
              </w:rPr>
              <w:t>（按照公告名称，不可修改）</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品牌或生产企业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合计总价：</w:t>
            </w:r>
          </w:p>
        </w:tc>
      </w:tr>
    </w:tbl>
    <w:p>
      <w:pPr>
        <w:pStyle w:val="2"/>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7"/>
  </w:num>
  <w:num w:numId="3">
    <w:abstractNumId w:val="3"/>
  </w:num>
  <w:num w:numId="4">
    <w:abstractNumId w:val="2"/>
  </w:num>
  <w:num w:numId="5">
    <w:abstractNumId w:val="0"/>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3C05FE9"/>
    <w:rsid w:val="041C0681"/>
    <w:rsid w:val="045C4934"/>
    <w:rsid w:val="06AB0CBE"/>
    <w:rsid w:val="07115D57"/>
    <w:rsid w:val="07480850"/>
    <w:rsid w:val="07A779E9"/>
    <w:rsid w:val="0831446C"/>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45F44FD"/>
    <w:rsid w:val="246624B2"/>
    <w:rsid w:val="24DF7354"/>
    <w:rsid w:val="24FE3AD7"/>
    <w:rsid w:val="25E13CF1"/>
    <w:rsid w:val="2643733F"/>
    <w:rsid w:val="264A511E"/>
    <w:rsid w:val="278100C0"/>
    <w:rsid w:val="27AF30E6"/>
    <w:rsid w:val="281A4847"/>
    <w:rsid w:val="288B4898"/>
    <w:rsid w:val="28AE7436"/>
    <w:rsid w:val="2A7E0BB7"/>
    <w:rsid w:val="2A826BC7"/>
    <w:rsid w:val="2B0A7B44"/>
    <w:rsid w:val="2CC10CAE"/>
    <w:rsid w:val="2ED21247"/>
    <w:rsid w:val="2F632DBF"/>
    <w:rsid w:val="30217C48"/>
    <w:rsid w:val="311B0235"/>
    <w:rsid w:val="31384F13"/>
    <w:rsid w:val="31827FC3"/>
    <w:rsid w:val="32367AE2"/>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9664CB2"/>
    <w:rsid w:val="4A2A20B9"/>
    <w:rsid w:val="4B4638AD"/>
    <w:rsid w:val="4B70660F"/>
    <w:rsid w:val="4B7C13C2"/>
    <w:rsid w:val="4B9C1C97"/>
    <w:rsid w:val="4BC500AA"/>
    <w:rsid w:val="4C1C5AD5"/>
    <w:rsid w:val="4D242965"/>
    <w:rsid w:val="4FCE5CD6"/>
    <w:rsid w:val="503F3FE4"/>
    <w:rsid w:val="50644509"/>
    <w:rsid w:val="51412A8B"/>
    <w:rsid w:val="514F77D3"/>
    <w:rsid w:val="533D08A8"/>
    <w:rsid w:val="53501B3C"/>
    <w:rsid w:val="53EC32EF"/>
    <w:rsid w:val="550B217C"/>
    <w:rsid w:val="55803735"/>
    <w:rsid w:val="563E288F"/>
    <w:rsid w:val="57162389"/>
    <w:rsid w:val="57575861"/>
    <w:rsid w:val="5AD50E25"/>
    <w:rsid w:val="5B736C6D"/>
    <w:rsid w:val="5C0B1608"/>
    <w:rsid w:val="5CEA2A63"/>
    <w:rsid w:val="5D327E39"/>
    <w:rsid w:val="5D4D3632"/>
    <w:rsid w:val="5ED90E8F"/>
    <w:rsid w:val="60247155"/>
    <w:rsid w:val="603040BB"/>
    <w:rsid w:val="615523A0"/>
    <w:rsid w:val="61A05A1B"/>
    <w:rsid w:val="649D2897"/>
    <w:rsid w:val="64BF3E0B"/>
    <w:rsid w:val="64E26821"/>
    <w:rsid w:val="650A5D90"/>
    <w:rsid w:val="65207F71"/>
    <w:rsid w:val="653122C2"/>
    <w:rsid w:val="66016CC0"/>
    <w:rsid w:val="67C71CC5"/>
    <w:rsid w:val="695C7637"/>
    <w:rsid w:val="6A3805EE"/>
    <w:rsid w:val="6A67750E"/>
    <w:rsid w:val="6BDA23AB"/>
    <w:rsid w:val="6CD8518D"/>
    <w:rsid w:val="6ECA7999"/>
    <w:rsid w:val="6F7B0CA4"/>
    <w:rsid w:val="6F8E4227"/>
    <w:rsid w:val="6FEC0000"/>
    <w:rsid w:val="70201765"/>
    <w:rsid w:val="70E04A7D"/>
    <w:rsid w:val="70F03E6A"/>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8A691F"/>
    <w:rsid w:val="7BC97F92"/>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2"/>
    <w:qFormat/>
    <w:uiPriority w:val="0"/>
  </w:style>
  <w:style w:type="paragraph" w:customStyle="1" w:styleId="20">
    <w:name w:val="无间隔1"/>
    <w:basedOn w:val="1"/>
    <w:qFormat/>
    <w:uiPriority w:val="1"/>
    <w:pPr>
      <w:spacing w:line="400" w:lineRule="exact"/>
    </w:pPr>
    <w:rPr>
      <w:rFonts w:ascii="Calibri" w:hAnsi="Calibri"/>
      <w:sz w:val="24"/>
      <w:szCs w:val="22"/>
    </w:rPr>
  </w:style>
  <w:style w:type="character" w:customStyle="1" w:styleId="21">
    <w:name w:val="font21"/>
    <w:basedOn w:val="1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5021</Words>
  <Characters>5194</Characters>
  <Lines>55</Lines>
  <Paragraphs>15</Paragraphs>
  <TotalTime>1</TotalTime>
  <ScaleCrop>false</ScaleCrop>
  <LinksUpToDate>false</LinksUpToDate>
  <CharactersWithSpaces>5846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2023-01-12T02:20:00Z</cp:lastPrinted>
  <dcterms:modified xsi:type="dcterms:W3CDTF">2023-01-26T01:46:14Z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493DB46D37854FBB97BA6C655364FCA7</vt:lpwstr>
  </property>
</Properties>
</file>