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零星工程施工服务单位遴选项目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5"/>
        <w:rPr>
          <w:rFonts w:hint="eastAsia"/>
        </w:rPr>
      </w:pPr>
    </w:p>
    <w:p>
      <w:pPr>
        <w:pStyle w:val="15"/>
        <w:rPr>
          <w:rFonts w:hint="eastAsia"/>
        </w:rPr>
      </w:pPr>
    </w:p>
    <w:p>
      <w:pPr>
        <w:pStyle w:val="15"/>
        <w:rPr>
          <w:rFonts w:hint="eastAsia"/>
        </w:rPr>
      </w:pPr>
    </w:p>
    <w:p>
      <w:pPr>
        <w:jc w:val="center"/>
        <w:rPr>
          <w:rFonts w:ascii="黑体" w:hAnsi="黑体" w:eastAsia="黑体" w:cs="黑体"/>
          <w:sz w:val="52"/>
          <w:szCs w:val="52"/>
        </w:rPr>
      </w:pPr>
    </w:p>
    <w:p>
      <w:pPr>
        <w:pStyle w:val="15"/>
        <w:rPr>
          <w:rFonts w:ascii="黑体" w:hAnsi="黑体" w:eastAsia="黑体" w:cs="黑体"/>
          <w:sz w:val="52"/>
          <w:szCs w:val="52"/>
        </w:rPr>
      </w:pPr>
    </w:p>
    <w:p>
      <w:pPr>
        <w:pStyle w:val="15"/>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5"/>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2022年11月11日</w:t>
      </w:r>
    </w:p>
    <w:p>
      <w:pPr>
        <w:pStyle w:val="15"/>
        <w:rPr>
          <w:rFonts w:hint="eastAsia"/>
          <w:lang w:val="en-US" w:eastAsia="zh-CN"/>
        </w:rPr>
      </w:pPr>
    </w:p>
    <w:p>
      <w:pPr>
        <w:pStyle w:val="15"/>
        <w:rPr>
          <w:rFonts w:hint="eastAsia"/>
          <w:lang w:val="en-US" w:eastAsia="zh-CN"/>
        </w:rPr>
      </w:pPr>
    </w:p>
    <w:p>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pP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零星工程施工服务单位遴选项目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零星工程施工服务单位遴选项目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s="Times New Roman"/>
          <w:sz w:val="32"/>
          <w:szCs w:val="32"/>
          <w:lang w:eastAsia="zh-CN"/>
        </w:rPr>
      </w:pPr>
      <w:r>
        <w:rPr>
          <w:rFonts w:hint="eastAsia" w:ascii="仿宋_GB2312" w:eastAsia="仿宋_GB2312" w:cs="Times New Roman"/>
          <w:sz w:val="32"/>
          <w:szCs w:val="32"/>
          <w:lang w:val="en-US" w:eastAsia="zh-CN"/>
        </w:rPr>
        <w:t>1、</w:t>
      </w:r>
      <w:r>
        <w:rPr>
          <w:rFonts w:hint="eastAsia" w:ascii="仿宋_GB2312" w:eastAsia="仿宋_GB2312" w:cs="Times New Roman"/>
          <w:sz w:val="32"/>
          <w:szCs w:val="32"/>
          <w:lang w:eastAsia="zh-CN"/>
        </w:rPr>
        <w:t>为进一步规范医院</w:t>
      </w:r>
      <w:r>
        <w:rPr>
          <w:rFonts w:hint="eastAsia" w:ascii="仿宋_GB2312" w:eastAsia="仿宋_GB2312" w:cs="Times New Roman"/>
          <w:sz w:val="32"/>
          <w:szCs w:val="32"/>
          <w:lang w:val="en-US" w:eastAsia="zh-CN"/>
        </w:rPr>
        <w:t>基建零星工程</w:t>
      </w:r>
      <w:r>
        <w:rPr>
          <w:rFonts w:hint="eastAsia" w:ascii="仿宋_GB2312" w:eastAsia="仿宋_GB2312" w:cs="Times New Roman"/>
          <w:sz w:val="32"/>
          <w:szCs w:val="32"/>
          <w:lang w:eastAsia="zh-CN"/>
        </w:rPr>
        <w:t>项目管理，对预算</w:t>
      </w:r>
      <w:r>
        <w:rPr>
          <w:rFonts w:hint="eastAsia" w:ascii="仿宋_GB2312" w:eastAsia="仿宋_GB2312" w:cs="Times New Roman"/>
          <w:sz w:val="32"/>
          <w:szCs w:val="32"/>
          <w:lang w:val="en-US" w:eastAsia="zh-CN"/>
        </w:rPr>
        <w:t>5万元以下维修及改造项目，</w:t>
      </w:r>
      <w:r>
        <w:rPr>
          <w:rFonts w:hint="eastAsia" w:ascii="仿宋_GB2312" w:eastAsia="仿宋_GB2312" w:cs="Times New Roman"/>
          <w:sz w:val="32"/>
          <w:szCs w:val="32"/>
          <w:lang w:eastAsia="zh-CN"/>
        </w:rPr>
        <w:t>拟面向社会公开遴选</w:t>
      </w:r>
      <w:r>
        <w:rPr>
          <w:rFonts w:hint="eastAsia" w:ascii="仿宋_GB2312" w:eastAsia="仿宋_GB2312" w:cs="Times New Roman"/>
          <w:sz w:val="32"/>
          <w:szCs w:val="32"/>
          <w:lang w:val="en-US" w:eastAsia="zh-CN"/>
        </w:rPr>
        <w:t>3家符合要求的</w:t>
      </w:r>
      <w:r>
        <w:rPr>
          <w:rFonts w:hint="eastAsia" w:ascii="仿宋_GB2312" w:eastAsia="仿宋_GB2312" w:cs="Times New Roman"/>
          <w:sz w:val="32"/>
          <w:szCs w:val="32"/>
          <w:lang w:eastAsia="zh-CN"/>
        </w:rPr>
        <w:t>施工单位作为合作单位；</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主要服务内容：单笔预算5万元以下的维修及改造项目，涵盖天花板、墙面、地面局部修缮，防水补漏、给排水管道及配件修补、玻璃及轻钢石膏板隔断、不锈钢玻璃门及防火门、不锈钢氩弧焊、墙体开凿、屋顶瓦片维修及日常基建修缮等；</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3、拟定服务方式及期限：单个项目单次议价询价，完工后经基建科验收合格后进入结算流程；遴选单位服务期限为365天。</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1、投标单位具备政府采购法规二十二条的六条资格要求；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2、投标单位须在中华人民共和国境内依法登记注册，具有合法经营资质。</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3、营业范围需具备装饰装修施工所需要的相关资质等；具备履行合同必须得专业技术能力，能随叫随到，具备应急抢修能力，保证该改造项目保质保量的按时完成；</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4、投标单位不得有商业贿赂和不正当欺诈行为。如投标单位被证实有以上行为，将被视为不合格；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5、投标单位经营行为必须符合国家法律法规和有关规定；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6.本项目不接受联合体投标，不允许分包和转包。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ascii="宋体" w:hAnsi="宋体" w:cs="宋体"/>
                <w:color w:val="FF0000"/>
                <w:szCs w:val="21"/>
              </w:rPr>
            </w:pPr>
            <w:r>
              <w:rPr>
                <w:rFonts w:hint="eastAsia" w:ascii="宋体" w:hAnsi="宋体" w:cs="宋体"/>
                <w:color w:val="FF0000"/>
                <w:szCs w:val="21"/>
                <w:lang w:eastAsia="zh-CN"/>
              </w:rPr>
              <w:t>产品</w:t>
            </w:r>
            <w:r>
              <w:rPr>
                <w:rFonts w:hint="eastAsia" w:ascii="宋体" w:hAnsi="宋体" w:cs="宋体"/>
                <w:color w:val="FF0000"/>
                <w:szCs w:val="21"/>
              </w:rPr>
              <w:t>部分：</w:t>
            </w:r>
            <w:r>
              <w:rPr>
                <w:rFonts w:hint="eastAsia" w:ascii="宋体" w:hAnsi="宋体" w:cs="宋体"/>
                <w:color w:val="FF0000"/>
                <w:szCs w:val="21"/>
                <w:lang w:val="en-US" w:eastAsia="zh-CN"/>
              </w:rPr>
              <w:t xml:space="preserve"> </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hint="eastAsia" w:ascii="宋体" w:hAnsi="宋体" w:cs="宋体"/>
                <w:color w:val="FF0000"/>
                <w:szCs w:val="21"/>
              </w:rPr>
            </w:pPr>
            <w:r>
              <w:rPr>
                <w:rFonts w:hint="eastAsia" w:ascii="宋体" w:hAnsi="宋体" w:cs="宋体"/>
                <w:color w:val="FF0000"/>
                <w:szCs w:val="21"/>
              </w:rPr>
              <w:t>综合部分：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10</w:t>
            </w:r>
            <w:r>
              <w:rPr>
                <w:rFonts w:hint="eastAsia" w:ascii="宋体" w:hAnsi="宋体" w:cs="宋体"/>
                <w:color w:val="FF0000"/>
                <w:szCs w:val="21"/>
                <w:u w:val="single"/>
              </w:rPr>
              <w:t xml:space="preserve"> </w:t>
            </w:r>
            <w:r>
              <w:rPr>
                <w:rFonts w:hint="eastAsia" w:ascii="宋体" w:hAnsi="宋体" w:cs="宋体"/>
                <w:color w:val="FF0000"/>
                <w:szCs w:val="21"/>
              </w:rPr>
              <w:t>分</w:t>
            </w:r>
          </w:p>
          <w:p>
            <w:pPr>
              <w:pStyle w:val="15"/>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服务部分：</w:t>
            </w:r>
            <w:r>
              <w:rPr>
                <w:rFonts w:hint="eastAsia" w:ascii="宋体" w:hAnsi="宋体" w:cs="宋体"/>
                <w:color w:val="FF0000"/>
                <w:szCs w:val="21"/>
                <w:u w:val="single"/>
                <w:lang w:val="en-US" w:eastAsia="zh-CN"/>
              </w:rPr>
              <w:t>20</w:t>
            </w:r>
            <w:r>
              <w:rPr>
                <w:rFonts w:hint="eastAsia" w:ascii="宋体" w:hAnsi="宋体" w:cs="宋体"/>
                <w:color w:val="FF0000"/>
                <w:szCs w:val="21"/>
                <w:u w:val="single"/>
              </w:rPr>
              <w:t xml:space="preserve"> </w:t>
            </w:r>
            <w:r>
              <w:rPr>
                <w:rFonts w:hint="eastAsia" w:ascii="宋体" w:hAnsi="宋体" w:cs="宋体"/>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15"/>
              <w:numPr>
                <w:ilvl w:val="0"/>
                <w:numId w:val="7"/>
              </w:numPr>
              <w:rPr>
                <w:rFonts w:hint="eastAsia"/>
                <w:lang w:val="en-US" w:eastAsia="zh-CN"/>
              </w:rPr>
            </w:pPr>
            <w:r>
              <w:rPr>
                <w:rFonts w:hint="eastAsia"/>
                <w:lang w:val="en-US" w:eastAsia="zh-CN"/>
              </w:rPr>
              <w:t>根据产品的售后方案在0-5分范围内进行打分</w:t>
            </w:r>
          </w:p>
          <w:p>
            <w:pPr>
              <w:pStyle w:val="15"/>
              <w:numPr>
                <w:ilvl w:val="0"/>
                <w:numId w:val="7"/>
              </w:numPr>
              <w:rPr>
                <w:rFonts w:hint="eastAsia"/>
                <w:lang w:val="en-US" w:eastAsia="zh-CN"/>
              </w:rPr>
            </w:pPr>
            <w:r>
              <w:rPr>
                <w:rFonts w:hint="eastAsia"/>
                <w:lang w:val="en-US" w:eastAsia="zh-CN"/>
              </w:rPr>
              <w:t>根据其他优惠条件在0-10分范围内打分</w:t>
            </w:r>
          </w:p>
        </w:tc>
      </w:tr>
    </w:tbl>
    <w:p>
      <w:pPr>
        <w:pStyle w:val="15"/>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零星工程施工服务合同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FF0000"/>
          <w:spacing w:val="4"/>
          <w:sz w:val="24"/>
          <w:szCs w:val="24"/>
          <w:lang w:val="en-US" w:eastAsia="zh-CN"/>
        </w:rPr>
      </w:pPr>
      <w:r>
        <w:rPr>
          <w:rFonts w:hint="eastAsia" w:ascii="仿宋" w:hAnsi="仿宋" w:eastAsia="仿宋" w:cs="仿宋"/>
          <w:color w:val="FF0000"/>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FF0000"/>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15"/>
        <w:rPr>
          <w:rFonts w:hint="eastAsia" w:ascii="仿宋" w:hAnsi="仿宋" w:eastAsia="仿宋" w:cs="仿宋"/>
          <w:spacing w:val="4"/>
          <w:sz w:val="24"/>
        </w:rPr>
      </w:pPr>
    </w:p>
    <w:p>
      <w:pPr>
        <w:pStyle w:val="15"/>
        <w:rPr>
          <w:rFonts w:hint="eastAsia" w:ascii="仿宋" w:hAnsi="仿宋" w:eastAsia="仿宋" w:cs="仿宋"/>
          <w:spacing w:val="4"/>
          <w:sz w:val="24"/>
        </w:rPr>
      </w:pPr>
    </w:p>
    <w:p>
      <w:pPr>
        <w:pStyle w:val="15"/>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0"/>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15"/>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15"/>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10762"/>
      <w:bookmarkStart w:id="2" w:name="_Toc320878640"/>
      <w:bookmarkStart w:id="3" w:name="_Toc304219257"/>
      <w:bookmarkStart w:id="4" w:name="_Toc258360269"/>
      <w:bookmarkStart w:id="5" w:name="_Toc261708863"/>
      <w:bookmarkStart w:id="6" w:name="_Toc9548"/>
      <w:bookmarkStart w:id="7" w:name="_Toc248896063"/>
      <w:bookmarkStart w:id="8" w:name="_Toc219626747"/>
      <w:bookmarkStart w:id="9" w:name="_Toc15313"/>
      <w:bookmarkStart w:id="10" w:name="_Toc337554724"/>
      <w:bookmarkStart w:id="11" w:name="_Toc258360158"/>
      <w:bookmarkStart w:id="12" w:name="_Toc337475854"/>
      <w:bookmarkStart w:id="13" w:name="_Toc258354146"/>
      <w:bookmarkStart w:id="14" w:name="_Toc1703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5"/>
        <w:rPr>
          <w:rFonts w:ascii="黑体" w:hAnsi="宋体" w:eastAsia="黑体" w:cs="宋体"/>
          <w:b/>
          <w:color w:val="000000"/>
          <w:sz w:val="32"/>
          <w:szCs w:val="32"/>
        </w:rPr>
      </w:pPr>
    </w:p>
    <w:p>
      <w:pPr>
        <w:pStyle w:val="15"/>
        <w:rPr>
          <w:rFonts w:ascii="黑体" w:hAnsi="宋体" w:eastAsia="黑体" w:cs="宋体"/>
          <w:b/>
          <w:color w:val="000000"/>
          <w:sz w:val="32"/>
          <w:szCs w:val="32"/>
        </w:rPr>
      </w:pPr>
    </w:p>
    <w:p>
      <w:pPr>
        <w:pStyle w:val="15"/>
        <w:rPr>
          <w:rFonts w:ascii="黑体" w:hAnsi="宋体" w:eastAsia="黑体" w:cs="宋体"/>
          <w:b/>
          <w:color w:val="000000"/>
          <w:sz w:val="32"/>
          <w:szCs w:val="32"/>
        </w:rPr>
      </w:pPr>
    </w:p>
    <w:p>
      <w:pPr>
        <w:pStyle w:val="15"/>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bookmarkStart w:id="15" w:name="_GoBack"/>
      <w:bookmarkEnd w:id="15"/>
    </w:p>
    <w:p>
      <w:pPr>
        <w:pStyle w:val="15"/>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15"/>
        <w:rPr>
          <w:rFonts w:ascii="方正小标宋简体" w:eastAsia="方正小标宋简体"/>
          <w:color w:val="000000"/>
          <w:sz w:val="44"/>
          <w:szCs w:val="44"/>
        </w:rPr>
      </w:pPr>
    </w:p>
    <w:p>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9"/>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FF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15"/>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15"/>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8E184D"/>
    <w:rsid w:val="4FCE5CD6"/>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qFormat/>
    <w:uiPriority w:val="0"/>
    <w:pPr>
      <w:jc w:val="left"/>
    </w:pPr>
  </w:style>
  <w:style w:type="paragraph" w:styleId="5">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1"/>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6960</Words>
  <Characters>7145</Characters>
  <Lines>55</Lines>
  <Paragraphs>15</Paragraphs>
  <TotalTime>3</TotalTime>
  <ScaleCrop>false</ScaleCrop>
  <LinksUpToDate>false</LinksUpToDate>
  <CharactersWithSpaces>7935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2022-11-09T08:51:14Z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493DB46D37854FBB97BA6C655364FCA7</vt:lpwstr>
  </property>
</Properties>
</file>