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2021年度人事代理人员岗位需求表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22"/>
        <w:gridCol w:w="1551"/>
        <w:gridCol w:w="2681"/>
        <w:gridCol w:w="469"/>
        <w:gridCol w:w="3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1.普通高等教育研究生及以上学历；                                                 2.具有药师资格证、临床药师证优先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1.普通高等教育本科及以上学历，具有资格证者优先；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超声科文员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医学影像技术、医学影像学、临床医学专业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影像科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验科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1.普通高等教育本科及以上学历，具有检验资格证。                                       2.有二级及以上医院工作经验、HIV、PCR证书优先；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2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护理/助产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1.2019年-2021年普通高等教育专科及以上毕业生；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2.具有护士资格证。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3.有急诊、重症、助产、手术室等专科护理领域护士培训证者优先，有呼吸治疗师工作经验优先；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1.普通高等教育专科及以上毕业生；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2.具有护师或主管护师资格证。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3.具有二级及以上医院3年及以上工作经验；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4.有急诊、重症、助产、手术室等专科护理领域护士培训证者优先，有呼吸治疗师工作经验优先；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90" w:firstLineChars="19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   45人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13021"/>
    <w:rsid w:val="144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2021-12-29T00:00:00Z</dcterms:created>
  <dc:creator>WPS_1527863812</dc:creator>
  <cp:lastModifiedBy>WPS_1527863812</cp:lastModifiedBy>
  <dcterms:modified xsi:type="dcterms:W3CDTF">2021-12-29T00:01:29Z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