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地源热泵中央空调设备维保服务</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2021年11月11日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地源热泵中央空调设备维保服务项目，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地源热泵中央空调设备维保服务项目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19"/>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维保范围</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地源热泵中央空调设备3台特灵地源热泵离心机系统。</w:t>
      </w:r>
    </w:p>
    <w:p>
      <w:pPr>
        <w:pStyle w:val="19"/>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维保要求：提供空调的换季维护保养、应急服务维修、配件维修更换、技术支持等服务，保证医院设备常年正常工作。</w:t>
      </w:r>
    </w:p>
    <w:p>
      <w:pPr>
        <w:pStyle w:val="19"/>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报名单位需自行勘察现场。</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供应商在中国境内注册、具有合法的经营资格，具备承担采购项目的能力</w:t>
      </w:r>
      <w:r>
        <w:rPr>
          <w:rFonts w:hint="eastAsia" w:ascii="仿宋_GB2312" w:hAnsi="Calibri" w:eastAsia="仿宋_GB2312" w:cs="Times New Roman"/>
          <w:kern w:val="2"/>
          <w:sz w:val="32"/>
          <w:szCs w:val="32"/>
          <w:lang w:val="en-US" w:eastAsia="zh-CN" w:bidi="ar-SA"/>
        </w:rPr>
        <w:t>；</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r>
        <w:rPr>
          <w:rFonts w:hint="eastAsia" w:ascii="仿宋_GB2312" w:eastAsia="仿宋_GB2312" w:cs="Times New Roman"/>
          <w:kern w:val="2"/>
          <w:sz w:val="32"/>
          <w:szCs w:val="32"/>
          <w:lang w:val="en-US" w:eastAsia="zh-CN" w:bidi="ar-SA"/>
        </w:rPr>
        <w:t>供应商须具备制冷空调设备维修安装A类Ⅰ级、D类Ⅰ级或以上相关专业资质；具有建筑机电安装工程专业承包三级以上资质；具有ISO9001质量管理体系认证证书；</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w:t>
      </w:r>
      <w:r>
        <w:rPr>
          <w:rFonts w:hint="eastAsia" w:ascii="仿宋_GB2312" w:eastAsia="仿宋_GB2312" w:cs="Times New Roman"/>
          <w:kern w:val="2"/>
          <w:sz w:val="32"/>
          <w:szCs w:val="32"/>
          <w:lang w:val="en-US" w:eastAsia="zh-CN" w:bidi="ar-SA"/>
        </w:rPr>
        <w:t>供应商须具有专业工程师团队（工程师须提供专业制冷与空调作业操作和低压电工证件），具有管道工、通风工等相应的中央空调维修资质，相应技术人员提供本公司社保统筹材料</w:t>
      </w:r>
      <w:r>
        <w:rPr>
          <w:rFonts w:hint="eastAsia" w:ascii="仿宋_GB2312" w:hAnsi="Calibri" w:eastAsia="仿宋_GB2312" w:cs="Times New Roman"/>
          <w:kern w:val="2"/>
          <w:sz w:val="32"/>
          <w:szCs w:val="32"/>
          <w:lang w:val="en-US" w:eastAsia="zh-CN" w:bidi="ar-SA"/>
        </w:rPr>
        <w:t>；</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w:t>
      </w:r>
      <w:r>
        <w:rPr>
          <w:rFonts w:hint="eastAsia" w:ascii="仿宋_GB2312" w:eastAsia="仿宋_GB2312" w:cs="Times New Roman"/>
          <w:kern w:val="2"/>
          <w:sz w:val="32"/>
          <w:szCs w:val="32"/>
          <w:lang w:val="en-US" w:eastAsia="zh-CN" w:bidi="ar-SA"/>
        </w:rPr>
        <w:t>供应商</w:t>
      </w:r>
      <w:r>
        <w:rPr>
          <w:rFonts w:hint="eastAsia" w:ascii="仿宋_GB2312" w:hAnsi="Calibri" w:eastAsia="仿宋_GB2312" w:cs="Times New Roman"/>
          <w:kern w:val="2"/>
          <w:sz w:val="32"/>
          <w:szCs w:val="32"/>
          <w:lang w:val="en-US" w:eastAsia="zh-CN" w:bidi="ar-SA"/>
        </w:rPr>
        <w:t>不得有商业贿赂和不正当欺诈行为。如</w:t>
      </w:r>
      <w:r>
        <w:rPr>
          <w:rFonts w:hint="eastAsia" w:ascii="仿宋_GB2312" w:eastAsia="仿宋_GB2312" w:cs="Times New Roman"/>
          <w:kern w:val="2"/>
          <w:sz w:val="32"/>
          <w:szCs w:val="32"/>
          <w:lang w:val="en-US" w:eastAsia="zh-CN" w:bidi="ar-SA"/>
        </w:rPr>
        <w:t>供应商</w:t>
      </w:r>
      <w:r>
        <w:rPr>
          <w:rFonts w:hint="eastAsia" w:ascii="仿宋_GB2312" w:hAnsi="Calibri" w:eastAsia="仿宋_GB2312" w:cs="Times New Roman"/>
          <w:kern w:val="2"/>
          <w:sz w:val="32"/>
          <w:szCs w:val="32"/>
          <w:lang w:val="en-US" w:eastAsia="zh-CN" w:bidi="ar-SA"/>
        </w:rPr>
        <w:t>被证实有以上行为，将被视为不合格；</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w:t>
      </w:r>
      <w:r>
        <w:rPr>
          <w:rFonts w:hint="eastAsia" w:ascii="仿宋_GB2312" w:eastAsia="仿宋_GB2312" w:cs="Times New Roman"/>
          <w:kern w:val="2"/>
          <w:sz w:val="32"/>
          <w:szCs w:val="32"/>
          <w:lang w:val="en-US" w:eastAsia="zh-CN" w:bidi="ar-SA"/>
        </w:rPr>
        <w:t>供应商不能是被列入“信用中国”和国家企业信息公示系统严重违法失信企业名单的供应商</w:t>
      </w:r>
      <w:r>
        <w:rPr>
          <w:rFonts w:hint="eastAsia" w:ascii="仿宋_GB2312" w:hAnsi="Calibri" w:eastAsia="仿宋_GB2312" w:cs="Times New Roman"/>
          <w:kern w:val="2"/>
          <w:sz w:val="32"/>
          <w:szCs w:val="32"/>
          <w:lang w:val="en-US" w:eastAsia="zh-CN" w:bidi="ar-SA"/>
        </w:rPr>
        <w:t>；</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w:t>
      </w:r>
      <w:r>
        <w:rPr>
          <w:rFonts w:hint="eastAsia" w:ascii="仿宋_GB2312" w:eastAsia="仿宋_GB2312" w:cs="Times New Roman"/>
          <w:kern w:val="2"/>
          <w:sz w:val="32"/>
          <w:szCs w:val="32"/>
          <w:lang w:val="en-US" w:eastAsia="zh-CN" w:bidi="ar-SA"/>
        </w:rPr>
        <w:t>供应商应拥有备品备件库，应急备件及耗材有库存；必要时现场考察备件库的属实性</w:t>
      </w:r>
      <w:r>
        <w:rPr>
          <w:rFonts w:hint="eastAsia" w:ascii="仿宋_GB2312" w:hAnsi="Calibri" w:eastAsia="仿宋_GB2312" w:cs="Times New Roman"/>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bookmarkStart w:id="17" w:name="_GoBack"/>
      <w:bookmarkEnd w:id="17"/>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w:t>
      </w:r>
      <w:r>
        <w:rPr>
          <w:rFonts w:hint="eastAsia" w:ascii="仿宋_GB2312" w:eastAsia="仿宋_GB2312"/>
          <w:color w:val="C00000"/>
          <w:sz w:val="32"/>
          <w:szCs w:val="32"/>
          <w:lang w:eastAsia="zh-CN"/>
        </w:rPr>
        <w:t>产品授权书。</w:t>
      </w:r>
    </w:p>
    <w:p>
      <w:pPr>
        <w:pStyle w:val="2"/>
        <w:numPr>
          <w:ilvl w:val="0"/>
          <w:numId w:val="0"/>
        </w:numPr>
        <w:ind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3"/>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实施方案</w:t>
            </w:r>
            <w:r>
              <w:rPr>
                <w:rFonts w:hint="eastAsia"/>
                <w:color w:val="auto"/>
              </w:rPr>
              <w:t>：</w:t>
            </w:r>
            <w:r>
              <w:rPr>
                <w:rFonts w:hint="eastAsia"/>
                <w:color w:val="auto"/>
                <w:u w:val="single"/>
              </w:rPr>
              <w:t xml:space="preserve"> </w:t>
            </w:r>
            <w:r>
              <w:rPr>
                <w:rFonts w:hint="eastAsia"/>
                <w:color w:val="auto"/>
                <w:u w:val="single"/>
                <w:lang w:val="en-US" w:eastAsia="zh-CN"/>
              </w:rPr>
              <w:t xml:space="preserve">40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40</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实施方案（</w:t>
            </w:r>
            <w:r>
              <w:rPr>
                <w:rFonts w:hint="eastAsia"/>
                <w:color w:val="auto"/>
                <w:lang w:val="en-US" w:eastAsia="zh-CN"/>
              </w:rPr>
              <w:t>40分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1根据项目实施方案在0-40分范围内进行打分。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10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0-10分范围内进行打分</w:t>
            </w:r>
            <w:r>
              <w:rPr>
                <w:rFonts w:hint="eastAsia"/>
                <w:color w:val="auto"/>
              </w:rPr>
              <w:t>。</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方正小标宋简体" w:hAnsi="方正小标宋简体" w:eastAsia="方正小标宋简体" w:cs="方正小标宋简体"/>
          <w:sz w:val="36"/>
          <w:szCs w:val="36"/>
          <w:u w:val="none"/>
          <w:lang w:eastAsia="zh-CN"/>
        </w:rPr>
      </w:pPr>
      <w:r>
        <w:rPr>
          <w:rFonts w:hint="eastAsia" w:ascii="方正小标宋简体" w:hAnsi="方正小标宋简体" w:eastAsia="方正小标宋简体" w:cs="方正小标宋简体"/>
          <w:sz w:val="36"/>
          <w:szCs w:val="36"/>
          <w:lang w:eastAsia="zh-CN"/>
        </w:rPr>
        <w:t>新郑市公立人民医院</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 中央空调离心机组及附属设备   </w:t>
      </w:r>
      <w:r>
        <w:rPr>
          <w:rFonts w:hint="eastAsia" w:ascii="方正小标宋简体" w:hAnsi="方正小标宋简体" w:eastAsia="方正小标宋简体" w:cs="方正小标宋简体"/>
          <w:sz w:val="36"/>
          <w:szCs w:val="36"/>
          <w:u w:val="none"/>
          <w:lang w:eastAsia="zh-CN"/>
        </w:rPr>
        <w:t>维护保养合同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采购方：（甲方）：新郑市公立人民医院</w:t>
      </w:r>
      <w:r>
        <w:rPr>
          <w:rFonts w:hint="eastAsia" w:ascii="仿宋_GB2312" w:hAnsi="仿宋_GB2312" w:eastAsia="仿宋_GB2312" w:cs="仿宋_GB2312"/>
          <w:b/>
          <w:sz w:val="24"/>
          <w:lang w:val="en-US" w:eastAsia="zh-CN"/>
        </w:rPr>
        <w:t xml:space="preserve">    服务方：（乙方）：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eastAsia="zh-CN"/>
        </w:rPr>
        <w:t>地址：</w:t>
      </w:r>
      <w:r>
        <w:rPr>
          <w:rFonts w:hint="eastAsia" w:ascii="仿宋_GB2312" w:hAnsi="仿宋_GB2312" w:eastAsia="仿宋_GB2312" w:cs="仿宋_GB2312"/>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 xml:space="preserve">联系电话：0371-69952699               联系电话：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根据《民法典》以及相关法律法规的规定，经甲、乙双方协商，就甲方采购乙方中央空调主机及附属设备维护保养服务事宜，双方自愿签订如下合同。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第一条 服务发生所在地及价格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维护保养服务发生所在地位新郑市公立人民医院院区中央空调主机机房；维护保养服务费用为</w:t>
      </w:r>
      <w:r>
        <w:rPr>
          <w:rFonts w:hint="eastAsia" w:ascii="仿宋_GB2312" w:hAnsi="仿宋_GB2312" w:eastAsia="仿宋_GB2312" w:cs="仿宋_GB2312"/>
          <w:sz w:val="24"/>
          <w:u w:val="single"/>
          <w:lang w:val="en-US" w:eastAsia="zh-CN"/>
        </w:rPr>
        <w:t xml:space="preserve">         元/年</w:t>
      </w:r>
      <w:r>
        <w:rPr>
          <w:rFonts w:hint="eastAsia" w:ascii="仿宋_GB2312" w:hAnsi="仿宋_GB2312" w:eastAsia="仿宋_GB2312" w:cs="仿宋_GB2312"/>
          <w:sz w:val="24"/>
          <w:lang w:val="en-US" w:eastAsia="zh-CN"/>
        </w:rPr>
        <w:t>。</w:t>
      </w:r>
    </w:p>
    <w:p>
      <w:pPr>
        <w:keepNext w:val="0"/>
        <w:keepLines w:val="0"/>
        <w:pageBreakBefore w:val="0"/>
        <w:numPr>
          <w:ilvl w:val="0"/>
          <w:numId w:val="7"/>
        </w:numPr>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维护保养服务内容</w:t>
      </w:r>
    </w:p>
    <w:p>
      <w:pPr>
        <w:pStyle w:val="2"/>
        <w:numPr>
          <w:ilvl w:val="0"/>
          <w:numId w:val="0"/>
        </w:numPr>
        <w:ind w:left="420" w:left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A.维护保养对象为特灵品牌CVHG离心机3台及配套供配电、控制设备设施；</w:t>
      </w:r>
    </w:p>
    <w:p>
      <w:pPr>
        <w:widowControl/>
        <w:autoSpaceDE w:val="0"/>
        <w:autoSpaceDN w:val="0"/>
        <w:spacing w:line="360" w:lineRule="auto"/>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Cs/>
          <w:sz w:val="24"/>
          <w:szCs w:val="24"/>
          <w:highlight w:val="none"/>
        </w:rPr>
        <w:t>主机编号：G16J02664 /</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sz w:val="24"/>
          <w:szCs w:val="24"/>
          <w:highlight w:val="none"/>
        </w:rPr>
        <w:t>G16J02663 /</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sz w:val="24"/>
          <w:szCs w:val="24"/>
          <w:highlight w:val="none"/>
        </w:rPr>
        <w:t>G16J02662</w:t>
      </w:r>
      <w:r>
        <w:rPr>
          <w:rFonts w:hint="eastAsia" w:ascii="仿宋_GB2312" w:hAnsi="仿宋_GB2312" w:eastAsia="仿宋_GB2312" w:cs="仿宋_GB2312"/>
          <w:bCs/>
          <w:sz w:val="24"/>
          <w:szCs w:val="24"/>
          <w:highlight w:val="none"/>
          <w:lang w:eastAsia="zh-CN"/>
        </w:rPr>
        <w:t>。</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B.负责派技术人员对三台机组进行两次/年度保养工作。</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C.负责派技术人员对三台机组在制冷季每月进行两次常规保养工作。</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D.负责派技术人员对三台机组进行更换油滤、干燥过滤器服务，数量见报价单。</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E.负责派技术人员对三台机组进行一次冷凝器清洗服务。</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F.负责派技术人员对三台机组免费提供紧急维修服务，两小时内到现场检查故障原因、提供解决方案。</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G.对更换配件提供两年质量保证。</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H.对于1000元以下配件，免费提供。</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I.对于其他配件，承诺五折优惠提供。</w:t>
      </w:r>
    </w:p>
    <w:p>
      <w:pPr>
        <w:pStyle w:val="2"/>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J.保证更换配件为原厂正品，更换技术人员为原厂技术工程师。</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第三条 服务周期</w:t>
      </w:r>
    </w:p>
    <w:p>
      <w:pPr>
        <w:pStyle w:val="2"/>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bCs/>
          <w:sz w:val="24"/>
          <w:highlight w:val="none"/>
          <w:lang w:val="en-US" w:eastAsia="zh-CN"/>
        </w:rPr>
        <w:t xml:space="preserve">   </w:t>
      </w:r>
      <w:r>
        <w:rPr>
          <w:rFonts w:hint="eastAsia" w:ascii="仿宋_GB2312" w:hAnsi="仿宋_GB2312" w:eastAsia="仿宋_GB2312" w:cs="仿宋_GB2312"/>
          <w:b w:val="0"/>
          <w:bCs w:val="0"/>
          <w:sz w:val="24"/>
          <w:highlight w:val="none"/>
          <w:lang w:val="en-US" w:eastAsia="zh-CN"/>
        </w:rPr>
        <w:t xml:space="preserve"> 自合同签订之日起生效，合同期限为1年。</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b/>
          <w:bCs/>
          <w:sz w:val="24"/>
          <w:highlight w:val="none"/>
          <w:lang w:val="en-US" w:eastAsia="zh-CN"/>
        </w:rPr>
        <w:t>第四条 验收标准及方式</w:t>
      </w:r>
      <w:r>
        <w:rPr>
          <w:rFonts w:hint="eastAsia" w:ascii="仿宋_GB2312" w:hAnsi="仿宋_GB2312" w:eastAsia="仿宋_GB2312" w:cs="仿宋_GB2312"/>
          <w:sz w:val="24"/>
          <w:highlight w:val="none"/>
          <w:lang w:val="en-US" w:eastAsia="zh-CN"/>
        </w:rPr>
        <w:t xml:space="preserve"> </w:t>
      </w:r>
    </w:p>
    <w:p>
      <w:pPr>
        <w:pStyle w:val="2"/>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4"/>
          <w:highlight w:val="none"/>
          <w:lang w:val="en-US" w:eastAsia="zh-CN"/>
        </w:rPr>
        <w:t xml:space="preserve">    每次保养完毕后，乙方自检后请示甲方进行工程验收。</w:t>
      </w:r>
    </w:p>
    <w:p>
      <w:pPr>
        <w:ind w:firstLine="360" w:firstLineChars="150"/>
        <w:rPr>
          <w:rFonts w:hint="eastAsia" w:ascii="仿宋_GB2312" w:hAnsi="仿宋_GB2312" w:eastAsia="仿宋_GB2312" w:cs="仿宋_GB2312"/>
          <w:sz w:val="24"/>
          <w:szCs w:val="24"/>
        </w:rPr>
      </w:pPr>
    </w:p>
    <w:p>
      <w:pPr>
        <w:ind w:firstLine="360" w:firstLineChars="150"/>
        <w:rPr>
          <w:rFonts w:hint="eastAsia" w:ascii="仿宋_GB2312" w:hAnsi="仿宋_GB2312" w:eastAsia="仿宋_GB2312" w:cs="仿宋_GB2312"/>
          <w:sz w:val="24"/>
          <w:szCs w:val="24"/>
        </w:rPr>
      </w:pPr>
    </w:p>
    <w:p>
      <w:pPr>
        <w:ind w:firstLine="360" w:firstLineChars="150"/>
        <w:rPr>
          <w:rFonts w:hint="eastAsia" w:ascii="仿宋_GB2312" w:hAnsi="仿宋_GB2312" w:eastAsia="仿宋_GB2312" w:cs="仿宋_GB2312"/>
          <w:sz w:val="24"/>
          <w:szCs w:val="24"/>
        </w:rPr>
      </w:pPr>
    </w:p>
    <w:p>
      <w:pPr>
        <w:ind w:firstLine="360" w:firstLineChars="150"/>
        <w:rPr>
          <w:rFonts w:hint="eastAsia" w:ascii="仿宋_GB2312" w:hAnsi="仿宋_GB2312" w:eastAsia="仿宋_GB2312" w:cs="仿宋_GB2312"/>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3"/>
        <w:tblW w:w="6717" w:type="dxa"/>
        <w:jc w:val="center"/>
        <w:tblInd w:w="0" w:type="dxa"/>
        <w:tblLayout w:type="fixed"/>
        <w:tblCellMar>
          <w:top w:w="0" w:type="dxa"/>
          <w:left w:w="108" w:type="dxa"/>
          <w:bottom w:w="0" w:type="dxa"/>
          <w:right w:w="108" w:type="dxa"/>
        </w:tblCellMar>
      </w:tblPr>
      <w:tblGrid>
        <w:gridCol w:w="709"/>
        <w:gridCol w:w="1913"/>
        <w:gridCol w:w="1654"/>
        <w:gridCol w:w="967"/>
        <w:gridCol w:w="1474"/>
      </w:tblGrid>
      <w:tr>
        <w:tblPrEx>
          <w:tblLayout w:type="fixed"/>
          <w:tblCellMar>
            <w:top w:w="0" w:type="dxa"/>
            <w:left w:w="108" w:type="dxa"/>
            <w:bottom w:w="0" w:type="dxa"/>
            <w:right w:w="108" w:type="dxa"/>
          </w:tblCellMar>
        </w:tblPrEx>
        <w:trPr>
          <w:trHeight w:val="38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序号</w:t>
            </w:r>
          </w:p>
        </w:tc>
        <w:tc>
          <w:tcPr>
            <w:tcW w:w="1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服务内容</w:t>
            </w:r>
          </w:p>
        </w:tc>
        <w:tc>
          <w:tcPr>
            <w:tcW w:w="1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服务期限</w:t>
            </w:r>
          </w:p>
        </w:tc>
        <w:tc>
          <w:tcPr>
            <w:tcW w:w="9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数量</w:t>
            </w:r>
          </w:p>
        </w:tc>
        <w:tc>
          <w:tcPr>
            <w:tcW w:w="14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备注</w:t>
            </w:r>
          </w:p>
        </w:tc>
      </w:tr>
      <w:tr>
        <w:tblPrEx>
          <w:tblLayout w:type="fixed"/>
          <w:tblCellMar>
            <w:top w:w="0" w:type="dxa"/>
            <w:left w:w="108" w:type="dxa"/>
            <w:bottom w:w="0" w:type="dxa"/>
            <w:right w:w="108" w:type="dxa"/>
          </w:tblCellMar>
        </w:tblPrEx>
        <w:trPr>
          <w:trHeight w:val="381"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特灵地源热泵离心机主机保养</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自合同签订起一年</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4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Layout w:type="fixed"/>
          <w:tblCellMar>
            <w:top w:w="0" w:type="dxa"/>
            <w:left w:w="108" w:type="dxa"/>
            <w:bottom w:w="0" w:type="dxa"/>
            <w:right w:w="108" w:type="dxa"/>
          </w:tblCellMar>
        </w:tblPrEx>
        <w:trPr>
          <w:trHeight w:val="381"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冷凝器清洗</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4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Layout w:type="fixed"/>
          <w:tblCellMar>
            <w:top w:w="0" w:type="dxa"/>
            <w:left w:w="108" w:type="dxa"/>
            <w:bottom w:w="0" w:type="dxa"/>
            <w:right w:w="108" w:type="dxa"/>
          </w:tblCellMar>
        </w:tblPrEx>
        <w:trPr>
          <w:trHeight w:val="381"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油过滤器</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FL01592</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4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原厂配件</w:t>
            </w:r>
          </w:p>
        </w:tc>
      </w:tr>
      <w:tr>
        <w:tblPrEx>
          <w:tblLayout w:type="fixed"/>
          <w:tblCellMar>
            <w:top w:w="0" w:type="dxa"/>
            <w:left w:w="108" w:type="dxa"/>
            <w:bottom w:w="0" w:type="dxa"/>
            <w:right w:w="108" w:type="dxa"/>
          </w:tblCellMar>
        </w:tblPrEx>
        <w:trPr>
          <w:trHeight w:val="381"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冷媒干燥过滤器</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DHY01474</w:t>
            </w:r>
          </w:p>
        </w:tc>
        <w:tc>
          <w:tcPr>
            <w:tcW w:w="9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4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原厂配件</w:t>
            </w:r>
          </w:p>
        </w:tc>
      </w:tr>
    </w:tbl>
    <w:p>
      <w:pPr>
        <w:spacing w:after="60"/>
        <w:rPr>
          <w:rFonts w:hint="eastAsia" w:ascii="仿宋_GB2312" w:hAnsi="仿宋_GB2312" w:eastAsia="仿宋_GB2312" w:cs="仿宋_GB2312"/>
          <w:sz w:val="24"/>
          <w:szCs w:val="24"/>
        </w:rPr>
      </w:pPr>
    </w:p>
    <w:p>
      <w:pPr>
        <w:spacing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上述合同总价包括合同第</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条所述工作内容及上表所列的保养所需基本配件和消耗品：</w:t>
      </w:r>
    </w:p>
    <w:p>
      <w:pPr>
        <w:spacing w:after="60"/>
        <w:rPr>
          <w:rFonts w:hint="eastAsia" w:ascii="仿宋_GB2312" w:hAnsi="仿宋_GB2312" w:eastAsia="仿宋_GB2312" w:cs="仿宋_GB2312"/>
          <w:sz w:val="24"/>
          <w:szCs w:val="24"/>
        </w:rPr>
      </w:pPr>
    </w:p>
    <w:p>
      <w:pPr>
        <w:spacing w:after="60"/>
        <w:ind w:left="126" w:leftChars="6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但合同总价</w:t>
      </w:r>
      <w:r>
        <w:rPr>
          <w:rFonts w:hint="eastAsia" w:ascii="仿宋_GB2312" w:hAnsi="仿宋_GB2312" w:eastAsia="仿宋_GB2312" w:cs="仿宋_GB2312"/>
          <w:b/>
          <w:sz w:val="24"/>
          <w:szCs w:val="24"/>
        </w:rPr>
        <w:t>不包括</w:t>
      </w:r>
      <w:r>
        <w:rPr>
          <w:rFonts w:hint="eastAsia" w:ascii="仿宋_GB2312" w:hAnsi="仿宋_GB2312" w:eastAsia="仿宋_GB2312" w:cs="仿宋_GB2312"/>
          <w:sz w:val="24"/>
          <w:szCs w:val="24"/>
        </w:rPr>
        <w:t>提供以下内容：</w:t>
      </w:r>
    </w:p>
    <w:p>
      <w:pPr>
        <w:widowControl/>
        <w:numPr>
          <w:ilvl w:val="0"/>
          <w:numId w:val="8"/>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除上表所列的保养所需基本配件和消耗品之外的其他配件及物料（配件及物料由甲方提供或由乙方报价另行收费）。</w:t>
      </w:r>
    </w:p>
    <w:p>
      <w:pPr>
        <w:widowControl/>
        <w:numPr>
          <w:ilvl w:val="0"/>
          <w:numId w:val="8"/>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除本合同第</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条及附件所述之外的服务工作。</w:t>
      </w:r>
    </w:p>
    <w:p>
      <w:pPr>
        <w:widowControl/>
        <w:numPr>
          <w:ilvl w:val="0"/>
          <w:numId w:val="8"/>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机组以外的设备故障排除服务工作。</w:t>
      </w:r>
    </w:p>
    <w:p>
      <w:pPr>
        <w:widowControl/>
        <w:numPr>
          <w:ilvl w:val="0"/>
          <w:numId w:val="8"/>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由于外部因素引起的故障或损坏的故障排除服务工作（如水管破裂、地震或其它人力不可抗拒的事故） </w:t>
      </w:r>
    </w:p>
    <w:p>
      <w:pPr>
        <w:widowControl/>
        <w:numPr>
          <w:ilvl w:val="0"/>
          <w:numId w:val="9"/>
        </w:numPr>
        <w:autoSpaceDE w:val="0"/>
        <w:autoSpaceDN w:val="0"/>
        <w:ind w:left="647" w:leftChars="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p>
      <w:pPr>
        <w:widowControl/>
        <w:numPr>
          <w:ilvl w:val="0"/>
          <w:numId w:val="10"/>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本合同签订后[ 30]天，甲方支付合同总价的50%，即人民币</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(RMB</w:t>
      </w:r>
      <w:r>
        <w:rPr>
          <w:rFonts w:hint="eastAsia" w:ascii="仿宋_GB2312" w:hAnsi="仿宋_GB2312" w:eastAsia="仿宋_GB2312" w:cs="仿宋_GB2312"/>
          <w:sz w:val="24"/>
          <w:szCs w:val="24"/>
          <w:u w:val="none"/>
        </w:rPr>
        <w:sym w:font="Courier New" w:char="00A5"/>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给乙方。</w:t>
      </w:r>
    </w:p>
    <w:p>
      <w:pPr>
        <w:widowControl/>
        <w:numPr>
          <w:ilvl w:val="0"/>
          <w:numId w:val="10"/>
        </w:numPr>
        <w:autoSpaceDE w:val="0"/>
        <w:autoSpaceDN w:val="0"/>
        <w:spacing w:after="60"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合同结束后，应向甲方</w:t>
      </w:r>
      <w:r>
        <w:rPr>
          <w:rFonts w:hint="eastAsia" w:ascii="仿宋_GB2312" w:hAnsi="仿宋_GB2312" w:eastAsia="仿宋_GB2312" w:cs="仿宋_GB2312"/>
          <w:sz w:val="24"/>
          <w:szCs w:val="24"/>
          <w:lang w:eastAsia="zh-CN"/>
        </w:rPr>
        <w:t>提供相应的增值税发票</w:t>
      </w:r>
      <w:r>
        <w:rPr>
          <w:rFonts w:hint="eastAsia" w:ascii="仿宋_GB2312" w:hAnsi="仿宋_GB2312" w:eastAsia="仿宋_GB2312" w:cs="仿宋_GB2312"/>
          <w:sz w:val="24"/>
          <w:szCs w:val="24"/>
        </w:rPr>
        <w:t>，甲方收到乙方</w:t>
      </w:r>
      <w:r>
        <w:rPr>
          <w:rFonts w:hint="eastAsia" w:ascii="仿宋_GB2312" w:hAnsi="仿宋_GB2312" w:eastAsia="仿宋_GB2312" w:cs="仿宋_GB2312"/>
          <w:sz w:val="24"/>
          <w:szCs w:val="24"/>
          <w:lang w:eastAsia="zh-CN"/>
        </w:rPr>
        <w:t>提供的发票</w:t>
      </w:r>
      <w:r>
        <w:rPr>
          <w:rFonts w:hint="eastAsia" w:ascii="仿宋_GB2312" w:hAnsi="仿宋_GB2312" w:eastAsia="仿宋_GB2312" w:cs="仿宋_GB2312"/>
          <w:sz w:val="24"/>
          <w:szCs w:val="24"/>
        </w:rPr>
        <w:t>后[ 15]日内应向乙方支付剩余50%的款项。</w:t>
      </w:r>
    </w:p>
    <w:p>
      <w:pPr>
        <w:widowControl/>
        <w:numPr>
          <w:ilvl w:val="0"/>
          <w:numId w:val="10"/>
        </w:numPr>
        <w:autoSpaceDE w:val="0"/>
        <w:autoSpaceDN w:val="0"/>
        <w:spacing w:after="60" w:line="360" w:lineRule="auto"/>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乙方收款帐号：</w:t>
      </w:r>
      <w:r>
        <w:rPr>
          <w:rFonts w:hint="eastAsia" w:ascii="仿宋_GB2312" w:hAnsi="仿宋_GB2312" w:eastAsia="仿宋_GB2312" w:cs="仿宋_GB2312"/>
          <w:sz w:val="24"/>
          <w:szCs w:val="24"/>
          <w:lang w:val="en-US" w:eastAsia="zh-CN"/>
        </w:rPr>
        <w:t xml:space="preserve"> </w:t>
      </w:r>
    </w:p>
    <w:p>
      <w:pPr>
        <w:spacing w:after="60"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开户银行： </w:t>
      </w:r>
    </w:p>
    <w:p>
      <w:pPr>
        <w:spacing w:after="60"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帐    号：</w:t>
      </w:r>
    </w:p>
    <w:p>
      <w:pPr>
        <w:widowControl/>
        <w:numPr>
          <w:ilvl w:val="0"/>
          <w:numId w:val="10"/>
        </w:numPr>
        <w:autoSpaceDE w:val="0"/>
        <w:autoSpaceDN w:val="0"/>
        <w:spacing w:after="60"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发票</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乙方提供甲方增值税普通发票。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bookmarkStart w:id="0" w:name="Check2"/>
    </w:p>
    <w:bookmarkEnd w:id="0"/>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如甲方需要乙方提供增值税发票，甲方需要提供乙方以下资料：</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公司名称：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公司地址：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开户银行：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帐   号：</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税   号： </w:t>
      </w:r>
    </w:p>
    <w:p>
      <w:pPr>
        <w:spacing w:after="60"/>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第五条 甲方责任与权利</w:t>
      </w:r>
    </w:p>
    <w:p>
      <w:pPr>
        <w:widowControl/>
        <w:numPr>
          <w:ilvl w:val="0"/>
          <w:numId w:val="11"/>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合同签订前，甲方各空调设备应处良好及正常状况，并提供设备说明书及调试报告给乙方；</w:t>
      </w:r>
    </w:p>
    <w:p>
      <w:pPr>
        <w:widowControl/>
        <w:numPr>
          <w:ilvl w:val="0"/>
          <w:numId w:val="11"/>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甲方按合同规定按时支付保养款项</w:t>
      </w:r>
      <w:r>
        <w:rPr>
          <w:rFonts w:hint="eastAsia" w:ascii="仿宋_GB2312" w:hAnsi="仿宋_GB2312" w:eastAsia="仿宋_GB2312" w:cs="仿宋_GB2312"/>
          <w:sz w:val="24"/>
          <w:szCs w:val="24"/>
          <w:lang w:eastAsia="zh-CN"/>
        </w:rPr>
        <w:t>。</w:t>
      </w:r>
    </w:p>
    <w:p>
      <w:pPr>
        <w:widowControl/>
        <w:numPr>
          <w:ilvl w:val="0"/>
          <w:numId w:val="11"/>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合同期内，未经乙方许可，甲方不得擅自修理及拆卸设备元件等；</w:t>
      </w:r>
    </w:p>
    <w:p>
      <w:pPr>
        <w:widowControl/>
        <w:numPr>
          <w:ilvl w:val="0"/>
          <w:numId w:val="11"/>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若乙方未能按冷冻机年检检查项目细则要求进行保养工作，甲方保留提前解除合同的权利。</w:t>
      </w:r>
    </w:p>
    <w:p>
      <w:pPr>
        <w:widowControl/>
        <w:numPr>
          <w:ilvl w:val="0"/>
          <w:numId w:val="11"/>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因甲方原因导致乙方无法按照本合同第3条所述完成全部工作内容的，双方应合同期限续延或变更相关事宜进行协商并另行达成本合同的书面补充协议。如本合同期限到期后，因甲方原因双方未能达成上述补充协议的，乙方有权停止本合同下的工作内容或者单方面终止本合同。对于合同终止前乙方已经提供的服务，甲方仍应根据本合同向乙方支付相应款项。</w:t>
      </w:r>
    </w:p>
    <w:p>
      <w:pPr>
        <w:widowControl/>
        <w:numPr>
          <w:ilvl w:val="0"/>
          <w:numId w:val="11"/>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完成每次服务后，甲方应在本合同附录一的工作单上盖章或指定其相关人员签字，以确认乙方已完成该次服务内容。甲方指定以下人员代表其签署与本合同工作内容的工作单，并应尽量确保由下述人员签署乙方工作单。</w:t>
      </w:r>
    </w:p>
    <w:p>
      <w:pPr>
        <w:widowControl/>
        <w:autoSpaceDE w:val="0"/>
        <w:autoSpaceDN w:val="0"/>
        <w:ind w:left="360"/>
        <w:jc w:val="lef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第六条 乙方责任与权利</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甲方未按合同规定支付相关款项，乙方有权中止合同并停止提供服务，直至款项付清为止；若甲方逾期付款超过三十（30）天以上的，乙方有权单方面解除合同。本条款以上规定不影响、也不减损本合同以及相关法律赋予乙方的任何其他权利、救济。</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良好的技术人员和工具仪器，最佳的服务质量和态度，严格按照特灵机组的保养标准做好维护保养工作，并认真填写运行报告，使设备处于良好运行状态由于乙方技术人员操作不当引起的故障或损坏，由乙方负责排除故障；</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乙方技术人员工作期间，需佩戴工作证，在空调设备出现故障时，应提出书面解决方案供甲方参考；</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每次保养结束后，乙方将向甲方提供检查报告及故障隐患清除之建议；</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定期保养时间应提前</w:t>
      </w:r>
      <w:bookmarkStart w:id="1" w:name="Text1"/>
      <w:r>
        <w:rPr>
          <w:rFonts w:hint="eastAsia" w:ascii="仿宋_GB2312" w:hAnsi="仿宋_GB2312" w:eastAsia="仿宋_GB2312" w:cs="仿宋_GB2312"/>
          <w:sz w:val="24"/>
          <w:szCs w:val="24"/>
        </w:rPr>
        <w:fldChar w:fldCharType="begin">
          <w:ffData>
            <w:name w:val="Text1"/>
            <w:enabled/>
            <w:calcOnExit w:val="0"/>
            <w:textInput>
              <w:default w:val="一周"/>
            </w:textInput>
          </w:ffData>
        </w:fldChar>
      </w:r>
      <w:r>
        <w:rPr>
          <w:rFonts w:hint="eastAsia" w:ascii="仿宋_GB2312" w:hAnsi="仿宋_GB2312" w:eastAsia="仿宋_GB2312" w:cs="仿宋_GB2312"/>
          <w:sz w:val="24"/>
          <w:szCs w:val="24"/>
        </w:rPr>
        <w:instrText xml:space="preserve"> FORMTEXT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一周</w:t>
      </w:r>
      <w:r>
        <w:rPr>
          <w:rFonts w:hint="eastAsia" w:ascii="仿宋_GB2312" w:hAnsi="仿宋_GB2312" w:eastAsia="仿宋_GB2312" w:cs="仿宋_GB2312"/>
          <w:sz w:val="24"/>
          <w:szCs w:val="24"/>
        </w:rPr>
        <w:fldChar w:fldCharType="end"/>
      </w:r>
      <w:bookmarkEnd w:id="1"/>
      <w:r>
        <w:rPr>
          <w:rFonts w:hint="eastAsia" w:ascii="仿宋_GB2312" w:hAnsi="仿宋_GB2312" w:eastAsia="仿宋_GB2312" w:cs="仿宋_GB2312"/>
          <w:sz w:val="24"/>
          <w:szCs w:val="24"/>
        </w:rPr>
        <w:t>通知甲方，以便甲方提前安排，不致影响正常的生产；</w:t>
      </w:r>
    </w:p>
    <w:p>
      <w:pPr>
        <w:widowControl/>
        <w:numPr>
          <w:ilvl w:val="0"/>
          <w:numId w:val="12"/>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乙方负责提供备件供应商清单以便甲方购买，或由乙方提供配件（费用另行报价）；</w:t>
      </w:r>
    </w:p>
    <w:p>
      <w:pPr>
        <w:widowControl/>
        <w:autoSpaceDE w:val="0"/>
        <w:autoSpaceDN w:val="0"/>
        <w:jc w:val="lef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第七条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第八条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第九条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甲方（盖章）                                    乙方（盖章）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签约代表                                        签约代表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年     月      日                               年    月      日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widowControl/>
        <w:autoSpaceDE w:val="0"/>
        <w:autoSpaceDN w:val="0"/>
        <w:jc w:val="left"/>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3"/>
        <w:rPr>
          <w:rFonts w:hint="eastAsia" w:ascii="仿宋_GB2312" w:hAnsi="仿宋_GB2312" w:eastAsia="仿宋_GB2312" w:cs="仿宋_GB2312"/>
          <w:sz w:val="24"/>
          <w:szCs w:val="24"/>
          <w:lang w:eastAsia="zh-CN"/>
        </w:rPr>
        <w:sectPr>
          <w:type w:val="continuous"/>
          <w:pgSz w:w="11906" w:h="16838"/>
          <w:pgMar w:top="1440" w:right="1286" w:bottom="1440" w:left="1440" w:header="720" w:footer="720" w:gutter="0"/>
          <w:cols w:space="720" w:num="1"/>
          <w:docGrid w:type="lines" w:linePitch="312" w:charSpace="0"/>
        </w:sectPr>
      </w:pPr>
    </w:p>
    <w:p>
      <w:pPr>
        <w:pStyle w:val="3"/>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w:t>
      </w:r>
    </w:p>
    <w:p>
      <w:pPr>
        <w:widowControl/>
        <w:jc w:val="left"/>
        <w:rPr>
          <w:rFonts w:hint="eastAsia" w:ascii="仿宋_GB2312" w:hAnsi="仿宋_GB2312" w:eastAsia="仿宋_GB2312" w:cs="仿宋_GB2312"/>
          <w:b/>
          <w:bCs/>
          <w:kern w:val="44"/>
          <w:sz w:val="24"/>
        </w:rPr>
      </w:pPr>
      <w:r>
        <w:rPr>
          <w:rFonts w:hint="eastAsia" w:ascii="仿宋_GB2312" w:hAnsi="仿宋_GB2312" w:eastAsia="仿宋_GB2312" w:cs="仿宋_GB2312"/>
          <w:b/>
          <w:bCs/>
          <w:kern w:val="44"/>
          <w:sz w:val="24"/>
        </w:rPr>
        <w:t xml:space="preserve">离心式冷冻机组CVHG离心机机维护保养程序 </w:t>
      </w:r>
    </w:p>
    <w:p>
      <w:pPr>
        <w:widowControl/>
        <w:jc w:val="left"/>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 xml:space="preserve">常规保养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1、压缩机马达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检测及收紧所有之马达电源端子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检测马达线圈温度传感器欧姆值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马达线组之绝缘阻抗测试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2、马达起动控制箱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收紧所有之电源端子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b. 对马达起动箱除垢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3、润滑系统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检查油槽油位是否正常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收紧油泵马达电源端子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检查及除垢处理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4、控制及保护电路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检查及调整导叶马达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b. 润滑所有导叶之连杆及传动部份</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5、冷凝器及蒸发器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a. 检查水及冷媒之温差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6、一般系统检查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检测冷媒系统有否有漏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检测不正常之噪音，振动及高温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检测及报告损坏之表计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从视窗检视压缩机油位是否正常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e. 运转主机，检查及报告其操作状况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sz w:val="24"/>
        </w:rPr>
      </w:pPr>
      <w:r>
        <w:rPr>
          <w:rFonts w:hint="eastAsia" w:ascii="仿宋_GB2312" w:hAnsi="仿宋_GB2312" w:eastAsia="仿宋_GB2312" w:cs="仿宋_GB2312"/>
          <w:b/>
          <w:bCs/>
          <w:color w:val="000000"/>
          <w:kern w:val="0"/>
          <w:sz w:val="24"/>
          <w:lang w:bidi="ar"/>
        </w:rPr>
        <w:t>年度保养细则（通常在机组启动前进行）</w:t>
      </w:r>
      <w:r>
        <w:rPr>
          <w:rFonts w:hint="eastAsia" w:ascii="仿宋_GB2312" w:hAnsi="仿宋_GB2312" w:eastAsia="仿宋_GB2312" w:cs="仿宋_GB2312"/>
          <w:color w:val="000000"/>
          <w:kern w:val="0"/>
          <w:sz w:val="24"/>
          <w:lang w:bidi="ar"/>
        </w:rPr>
        <w:t xml:space="preserve">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1、压缩机马达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检测及收紧所有之马达电源端子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检测马达线圈温度传感器欧姆值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马达线组之绝缘阻抗测试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2、马达起动控制箱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a. 收紧所有之电源端子</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检测马达起动器的所有其它装置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检测各接触器线路端子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对马达起动箱除垢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检测马达接线端子温度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f. 检测各接触器接点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g. 清洁各接触器接点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3、润滑系统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检测油槽油位是否正常（运转中）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更换压缩机油过滤器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检测油温控制传感器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收紧油泵马达电源端子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f. 记录马达运转电流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g. 检测油泵马达绕阻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h. 检测马达线圈内阻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i. 检测及除垢处理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4、控制及保护电路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检测及校正低温传感器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检测及调整高压开关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检测及校正高压传感器（选择配备）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检测及调整油压调节阀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检测油压转换器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f. 检测及调整Guide Vane步进马达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g. 润滑所有Guide Vane之连杆及传动部份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h. 检测冷却水及冰水温度传感器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i. 检测及调整冷却水及冷冻水流量开关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j. 校正及调整主机设定参数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5、冷凝器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检测水及冷媒之温差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检测冷媒饱和温度传感器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检测冷媒饱和压力传感器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6、蒸发器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检测水及冷媒之温差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检测冷媒饱和温度传感器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c. 检测及校正冷媒蒸发压力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7、抽气系统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检测电磁阀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清洁冷凝盘管铝鳍片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c. 检测马达之绝缘阻抗</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抽气系统整组清洁除垢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检测排气是否正常 </w:t>
      </w:r>
    </w:p>
    <w:p>
      <w:pPr>
        <w:widowControl/>
        <w:jc w:val="left"/>
        <w:rPr>
          <w:rFonts w:hint="eastAsia"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 xml:space="preserve">f. 检测冷媒水份指示器 </w:t>
      </w:r>
    </w:p>
    <w:p>
      <w:pPr>
        <w:widowControl/>
        <w:jc w:val="left"/>
        <w:rPr>
          <w:rFonts w:hint="eastAsia" w:ascii="仿宋_GB2312" w:hAnsi="仿宋_GB2312" w:eastAsia="仿宋_GB2312" w:cs="仿宋_GB2312"/>
          <w:bCs/>
          <w:sz w:val="24"/>
        </w:rPr>
      </w:pP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8、开机运转测试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a. 检测马达线圈温度传感器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b. 油槽视窗油位是否正常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c. 从视窗检测抽气回收马达，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d. 若有水份将其排除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e. 检测不正常之噪音，振动及高温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f. 检测及报告损坏之零件 </w:t>
      </w:r>
    </w:p>
    <w:p>
      <w:pPr>
        <w:widowControl/>
        <w:jc w:val="left"/>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lang w:bidi="ar"/>
        </w:rPr>
        <w:t xml:space="preserve">g. 检测及报告其操作状况 </w:t>
      </w:r>
    </w:p>
    <w:p>
      <w:pPr>
        <w:widowControl/>
        <w:jc w:val="left"/>
        <w:rPr>
          <w:rFonts w:hint="eastAsia"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详细的服务内容请参考保养工作中的检查记录表。</w:t>
      </w:r>
    </w:p>
    <w:p>
      <w:pPr>
        <w:pStyle w:val="2"/>
        <w:rPr>
          <w:rFonts w:hint="eastAsia" w:ascii="仿宋_GB2312" w:hAnsi="仿宋_GB2312" w:eastAsia="仿宋_GB2312" w:cs="仿宋_GB2312"/>
          <w:b/>
          <w:color w:val="000000"/>
          <w:kern w:val="0"/>
          <w:sz w:val="24"/>
          <w:lang w:bidi="ar"/>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3"/>
        <w:tblW w:w="9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格式自拟（需包含所报工程单价、总价）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2" w:name="_Toc320878640"/>
      <w:bookmarkStart w:id="3" w:name="_Toc258360158"/>
      <w:bookmarkStart w:id="4" w:name="_Toc337475854"/>
      <w:bookmarkStart w:id="5" w:name="_Toc219626747"/>
      <w:bookmarkStart w:id="6" w:name="_Toc9548"/>
      <w:bookmarkStart w:id="7" w:name="_Toc248896063"/>
      <w:bookmarkStart w:id="8" w:name="_Toc304219257"/>
      <w:bookmarkStart w:id="9" w:name="_Toc337554724"/>
      <w:bookmarkStart w:id="10" w:name="_Toc15313"/>
      <w:bookmarkStart w:id="11" w:name="_Toc17030"/>
      <w:bookmarkStart w:id="12" w:name="_Toc261708863"/>
      <w:bookmarkStart w:id="13" w:name="_Toc258360269"/>
      <w:bookmarkStart w:id="14" w:name="_Toc258354146"/>
      <w:bookmarkStart w:id="15" w:name="_Toc258333636"/>
      <w:bookmarkStart w:id="16"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98084C"/>
    <w:multiLevelType w:val="singleLevel"/>
    <w:tmpl w:val="E398084C"/>
    <w:lvl w:ilvl="0" w:tentative="0">
      <w:start w:val="2"/>
      <w:numFmt w:val="chineseCounting"/>
      <w:suff w:val="space"/>
      <w:lvlText w:val="第%1条"/>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071609E5"/>
    <w:multiLevelType w:val="multilevel"/>
    <w:tmpl w:val="071609E5"/>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EEA0845"/>
    <w:multiLevelType w:val="multilevel"/>
    <w:tmpl w:val="2EEA0845"/>
    <w:lvl w:ilvl="0" w:tentative="0">
      <w:start w:val="1"/>
      <w:numFmt w:val="decimal"/>
      <w:lvlText w:val="%1．"/>
      <w:lvlJc w:val="left"/>
      <w:pPr>
        <w:tabs>
          <w:tab w:val="left" w:pos="360"/>
        </w:tabs>
        <w:ind w:left="647" w:hanging="227"/>
      </w:pPr>
      <w:rPr>
        <w:rFonts w:hint="default"/>
      </w:rPr>
    </w:lvl>
    <w:lvl w:ilvl="1" w:tentative="0">
      <w:start w:val="2"/>
      <w:numFmt w:val="upperLetter"/>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636DBDA"/>
    <w:multiLevelType w:val="singleLevel"/>
    <w:tmpl w:val="3636DBDA"/>
    <w:lvl w:ilvl="0" w:tentative="0">
      <w:start w:val="1"/>
      <w:numFmt w:val="chineseCounting"/>
      <w:suff w:val="space"/>
      <w:lvlText w:val="第%1章"/>
      <w:lvlJc w:val="left"/>
      <w:rPr>
        <w:rFonts w:hint="eastAsia"/>
      </w:rPr>
    </w:lvl>
  </w:abstractNum>
  <w:abstractNum w:abstractNumId="8">
    <w:nsid w:val="65203ED3"/>
    <w:multiLevelType w:val="multilevel"/>
    <w:tmpl w:val="65203ED3"/>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B3A6AF7"/>
    <w:multiLevelType w:val="multilevel"/>
    <w:tmpl w:val="6B3A6AF7"/>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11">
    <w:nsid w:val="6D786D30"/>
    <w:multiLevelType w:val="singleLevel"/>
    <w:tmpl w:val="6D786D30"/>
    <w:lvl w:ilvl="0" w:tentative="0">
      <w:start w:val="1"/>
      <w:numFmt w:val="bullet"/>
      <w:lvlText w:val=""/>
      <w:lvlJc w:val="left"/>
      <w:pPr>
        <w:tabs>
          <w:tab w:val="left" w:pos="360"/>
        </w:tabs>
        <w:ind w:left="360" w:hanging="360"/>
      </w:pPr>
      <w:rPr>
        <w:rFonts w:hint="default" w:ascii="Symbol" w:hAnsi="Symbol" w:cs="Times New Roman"/>
      </w:rPr>
    </w:lvl>
  </w:abstractNum>
  <w:num w:numId="1">
    <w:abstractNumId w:val="7"/>
  </w:num>
  <w:num w:numId="2">
    <w:abstractNumId w:val="10"/>
  </w:num>
  <w:num w:numId="3">
    <w:abstractNumId w:val="2"/>
  </w:num>
  <w:num w:numId="4">
    <w:abstractNumId w:val="1"/>
  </w:num>
  <w:num w:numId="5">
    <w:abstractNumId w:val="0"/>
  </w:num>
  <w:num w:numId="6">
    <w:abstractNumId w:val="4"/>
  </w:num>
  <w:num w:numId="7">
    <w:abstractNumId w:val="3"/>
  </w:num>
  <w:num w:numId="8">
    <w:abstractNumId w:val="11"/>
  </w:num>
  <w:num w:numId="9">
    <w:abstractNumId w:val="6"/>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A7E0BB7"/>
    <w:rsid w:val="2A826BC7"/>
    <w:rsid w:val="2B0A7B44"/>
    <w:rsid w:val="2ED21247"/>
    <w:rsid w:val="2F632DBF"/>
    <w:rsid w:val="30217C48"/>
    <w:rsid w:val="311B0235"/>
    <w:rsid w:val="31384F13"/>
    <w:rsid w:val="31827FC3"/>
    <w:rsid w:val="32367AE2"/>
    <w:rsid w:val="33F956F6"/>
    <w:rsid w:val="35235DD9"/>
    <w:rsid w:val="355D343E"/>
    <w:rsid w:val="35803DCD"/>
    <w:rsid w:val="359022EB"/>
    <w:rsid w:val="384A7AD5"/>
    <w:rsid w:val="3A3A4AA9"/>
    <w:rsid w:val="3AD243FA"/>
    <w:rsid w:val="3B2A4846"/>
    <w:rsid w:val="3B5373B6"/>
    <w:rsid w:val="3B677688"/>
    <w:rsid w:val="3C8F1C55"/>
    <w:rsid w:val="3CCF593D"/>
    <w:rsid w:val="3DA0606C"/>
    <w:rsid w:val="3EC01209"/>
    <w:rsid w:val="3EDC78BB"/>
    <w:rsid w:val="3EEB7664"/>
    <w:rsid w:val="435D287E"/>
    <w:rsid w:val="44504B88"/>
    <w:rsid w:val="44B67130"/>
    <w:rsid w:val="456841B6"/>
    <w:rsid w:val="457B6881"/>
    <w:rsid w:val="4656733B"/>
    <w:rsid w:val="46BB2C0A"/>
    <w:rsid w:val="47552A75"/>
    <w:rsid w:val="486D7AF7"/>
    <w:rsid w:val="493C56B1"/>
    <w:rsid w:val="494804BB"/>
    <w:rsid w:val="495A2A50"/>
    <w:rsid w:val="4A2A20B9"/>
    <w:rsid w:val="4B4638AD"/>
    <w:rsid w:val="4B9C1C97"/>
    <w:rsid w:val="4BC500AA"/>
    <w:rsid w:val="4C1C5AD5"/>
    <w:rsid w:val="4FCE5CD6"/>
    <w:rsid w:val="503F3FE4"/>
    <w:rsid w:val="514F77D3"/>
    <w:rsid w:val="533D08A8"/>
    <w:rsid w:val="53501B3C"/>
    <w:rsid w:val="53EC32EF"/>
    <w:rsid w:val="550B217C"/>
    <w:rsid w:val="563E288F"/>
    <w:rsid w:val="57162389"/>
    <w:rsid w:val="57575861"/>
    <w:rsid w:val="5AD50E25"/>
    <w:rsid w:val="5C0B1608"/>
    <w:rsid w:val="5CEA2A63"/>
    <w:rsid w:val="5D327E39"/>
    <w:rsid w:val="5D4D3632"/>
    <w:rsid w:val="5ED90E8F"/>
    <w:rsid w:val="603040BB"/>
    <w:rsid w:val="615523A0"/>
    <w:rsid w:val="61A05A1B"/>
    <w:rsid w:val="649D2897"/>
    <w:rsid w:val="64BF3E0B"/>
    <w:rsid w:val="64E26821"/>
    <w:rsid w:val="65207F71"/>
    <w:rsid w:val="66016CC0"/>
    <w:rsid w:val="67C71CC5"/>
    <w:rsid w:val="695C7637"/>
    <w:rsid w:val="6A3805EE"/>
    <w:rsid w:val="6A67750E"/>
    <w:rsid w:val="6CD8518D"/>
    <w:rsid w:val="6ECA7999"/>
    <w:rsid w:val="6F8E4227"/>
    <w:rsid w:val="70E04A7D"/>
    <w:rsid w:val="70F03E6A"/>
    <w:rsid w:val="71B367CA"/>
    <w:rsid w:val="72AF20B0"/>
    <w:rsid w:val="745F5922"/>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Normal_3"/>
    <w:qFormat/>
    <w:uiPriority w:val="0"/>
    <w:rPr>
      <w:rFonts w:ascii="Times New Roman" w:hAnsi="Times New Roman" w:eastAsia="Times New Roman" w:cs="Times New Roman"/>
      <w:sz w:val="24"/>
      <w:szCs w:val="24"/>
      <w:lang w:val="en-US" w:eastAsia="zh-CN" w:bidi="ar-SA"/>
    </w:rPr>
  </w:style>
  <w:style w:type="character" w:customStyle="1" w:styleId="16">
    <w:name w:val="页脚 字符"/>
    <w:basedOn w:val="9"/>
    <w:link w:val="6"/>
    <w:qFormat/>
    <w:uiPriority w:val="0"/>
    <w:rPr>
      <w:rFonts w:asciiTheme="minorHAnsi" w:hAnsiTheme="minorHAnsi" w:eastAsiaTheme="minorEastAsia" w:cstheme="minorBidi"/>
      <w:kern w:val="2"/>
      <w:sz w:val="18"/>
      <w:szCs w:val="18"/>
    </w:rPr>
  </w:style>
  <w:style w:type="paragraph" w:styleId="17">
    <w:name w:val="List Paragraph"/>
    <w:basedOn w:val="1"/>
    <w:qFormat/>
    <w:uiPriority w:val="99"/>
    <w:pPr>
      <w:ind w:firstLine="420" w:firstLineChars="200"/>
    </w:pPr>
  </w:style>
  <w:style w:type="character" w:customStyle="1" w:styleId="18">
    <w:name w:val="hover15"/>
    <w:basedOn w:val="9"/>
    <w:qFormat/>
    <w:uiPriority w:val="0"/>
  </w:style>
  <w:style w:type="paragraph" w:customStyle="1" w:styleId="19">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2021-11-11T01:30:53Z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