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rPr>
      </w:pPr>
      <w:r>
        <w:rPr>
          <w:rFonts w:hint="eastAsia" w:ascii="黑体" w:hAnsi="黑体" w:eastAsia="黑体" w:cs="黑体"/>
          <w:sz w:val="52"/>
          <w:szCs w:val="52"/>
        </w:rPr>
        <w:t>网络心电图机及网络监护仪设备</w:t>
      </w:r>
    </w:p>
    <w:p>
      <w:pPr>
        <w:jc w:val="center"/>
        <w:rPr>
          <w:rFonts w:ascii="黑体" w:hAnsi="黑体" w:eastAsia="黑体" w:cs="黑体"/>
          <w:sz w:val="52"/>
          <w:szCs w:val="52"/>
        </w:rPr>
      </w:pPr>
      <w:r>
        <w:rPr>
          <w:rFonts w:hint="eastAsia" w:ascii="黑体" w:hAnsi="黑体" w:eastAsia="黑体" w:cs="黑体"/>
          <w:sz w:val="52"/>
          <w:szCs w:val="52"/>
        </w:rPr>
        <w:t>采购项目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2021年3月24日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网络心电图机及网络监护仪设备采购项目，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网络心电图机及网络监护仪设备采购项目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439"/>
        <w:gridCol w:w="921"/>
        <w:gridCol w:w="990"/>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9" w:type="dxa"/>
            <w:noWrap w:val="0"/>
            <w:vAlign w:val="top"/>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序号</w:t>
            </w:r>
          </w:p>
        </w:tc>
        <w:tc>
          <w:tcPr>
            <w:tcW w:w="2439" w:type="dxa"/>
            <w:noWrap w:val="0"/>
            <w:vAlign w:val="top"/>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设备名称</w:t>
            </w:r>
          </w:p>
        </w:tc>
        <w:tc>
          <w:tcPr>
            <w:tcW w:w="921" w:type="dxa"/>
            <w:noWrap w:val="0"/>
            <w:vAlign w:val="top"/>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单位</w:t>
            </w:r>
          </w:p>
        </w:tc>
        <w:tc>
          <w:tcPr>
            <w:tcW w:w="990" w:type="dxa"/>
            <w:noWrap w:val="0"/>
            <w:vAlign w:val="top"/>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数量</w:t>
            </w:r>
          </w:p>
        </w:tc>
        <w:tc>
          <w:tcPr>
            <w:tcW w:w="3203" w:type="dxa"/>
            <w:noWrap w:val="0"/>
            <w:vAlign w:val="top"/>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969" w:type="dxa"/>
            <w:noWrap w:val="0"/>
            <w:vAlign w:val="top"/>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2439" w:type="dxa"/>
            <w:noWrap w:val="0"/>
            <w:vAlign w:val="top"/>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网络心电图机</w:t>
            </w:r>
          </w:p>
        </w:tc>
        <w:tc>
          <w:tcPr>
            <w:tcW w:w="921" w:type="dxa"/>
            <w:noWrap w:val="0"/>
            <w:vAlign w:val="top"/>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990" w:type="dxa"/>
            <w:noWrap w:val="0"/>
            <w:vAlign w:val="top"/>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w:t>
            </w:r>
          </w:p>
        </w:tc>
        <w:tc>
          <w:tcPr>
            <w:tcW w:w="3203" w:type="dxa"/>
            <w:vMerge w:val="restart"/>
            <w:noWrap w:val="0"/>
            <w:vAlign w:val="top"/>
          </w:tcPr>
          <w:p>
            <w:pPr>
              <w:pStyle w:val="2"/>
              <w:jc w:val="center"/>
              <w:rPr>
                <w:rFonts w:hint="eastAsia" w:ascii="仿宋_GB2312" w:eastAsia="仿宋_GB2312"/>
                <w:sz w:val="32"/>
                <w:szCs w:val="32"/>
                <w:lang w:val="en-US" w:eastAsia="zh-CN"/>
              </w:rPr>
            </w:pPr>
            <w:r>
              <w:rPr>
                <w:rFonts w:hint="eastAsia" w:ascii="仿宋_GB2312" w:hAnsi="宋体" w:eastAsia="仿宋_GB2312"/>
                <w:b/>
                <w:bCs/>
                <w:lang w:val="en-US" w:eastAsia="zh-CN"/>
              </w:rPr>
              <w:t>能够实现院前院内心电图网络传输，院前急救信息共享并能与120系统对接。详细参数见附件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969" w:type="dxa"/>
            <w:noWrap w:val="0"/>
            <w:vAlign w:val="top"/>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w:t>
            </w:r>
          </w:p>
        </w:tc>
        <w:tc>
          <w:tcPr>
            <w:tcW w:w="2439" w:type="dxa"/>
            <w:noWrap w:val="0"/>
            <w:vAlign w:val="top"/>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网络监护仪</w:t>
            </w:r>
          </w:p>
        </w:tc>
        <w:tc>
          <w:tcPr>
            <w:tcW w:w="921" w:type="dxa"/>
            <w:noWrap w:val="0"/>
            <w:vAlign w:val="top"/>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990" w:type="dxa"/>
            <w:noWrap w:val="0"/>
            <w:vAlign w:val="top"/>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3</w:t>
            </w:r>
          </w:p>
        </w:tc>
        <w:tc>
          <w:tcPr>
            <w:tcW w:w="3203" w:type="dxa"/>
            <w:vMerge w:val="continue"/>
            <w:noWrap w:val="0"/>
            <w:vAlign w:val="top"/>
          </w:tcPr>
          <w:p>
            <w:pPr>
              <w:pStyle w:val="2"/>
              <w:jc w:val="center"/>
              <w:rPr>
                <w:rFonts w:hint="eastAsia" w:ascii="仿宋_GB2312" w:eastAsia="仿宋_GB2312"/>
                <w:sz w:val="32"/>
                <w:szCs w:val="32"/>
                <w:lang w:val="en-US" w:eastAsia="zh-CN"/>
              </w:rPr>
            </w:pPr>
          </w:p>
        </w:tc>
      </w:tr>
    </w:tbl>
    <w:p>
      <w:pPr>
        <w:pStyle w:val="2"/>
        <w:jc w:val="center"/>
        <w:rPr>
          <w:rFonts w:hint="eastAsia"/>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31</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pStyle w:val="2"/>
        <w:numPr>
          <w:ilvl w:val="0"/>
          <w:numId w:val="0"/>
        </w:numPr>
        <w:ind w:leftChars="200"/>
        <w:rPr>
          <w:rFonts w:hint="eastAsia"/>
          <w:lang w:eastAsia="zh-CN"/>
        </w:rPr>
      </w:pP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0-2分范围内打分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2.根据仓储、人员配备等方面在0-3分范围内进行打分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17030"/>
      <w:bookmarkStart w:id="6" w:name="_Toc248896063"/>
      <w:bookmarkStart w:id="7" w:name="_Toc15313"/>
      <w:bookmarkStart w:id="8" w:name="_Toc261708863"/>
      <w:bookmarkStart w:id="9" w:name="_Toc219626747"/>
      <w:bookmarkStart w:id="10" w:name="_Toc9548"/>
      <w:bookmarkStart w:id="11" w:name="_Toc320878640"/>
      <w:bookmarkStart w:id="12" w:name="_Toc258360269"/>
      <w:bookmarkStart w:id="13" w:name="_Toc10762"/>
      <w:bookmarkStart w:id="14" w:name="_Toc25833363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BCA7DF5"/>
    <w:rsid w:val="1C900C49"/>
    <w:rsid w:val="1D5D013B"/>
    <w:rsid w:val="1D995826"/>
    <w:rsid w:val="1E4C6245"/>
    <w:rsid w:val="1F1D4095"/>
    <w:rsid w:val="22401398"/>
    <w:rsid w:val="245F44FD"/>
    <w:rsid w:val="246624B2"/>
    <w:rsid w:val="24DF7354"/>
    <w:rsid w:val="24FE3AD7"/>
    <w:rsid w:val="25E13CF1"/>
    <w:rsid w:val="2643733F"/>
    <w:rsid w:val="264A511E"/>
    <w:rsid w:val="278100C0"/>
    <w:rsid w:val="288B4898"/>
    <w:rsid w:val="2A7E0BB7"/>
    <w:rsid w:val="2B0A7B44"/>
    <w:rsid w:val="2F632DBF"/>
    <w:rsid w:val="30217C48"/>
    <w:rsid w:val="31827FC3"/>
    <w:rsid w:val="32367AE2"/>
    <w:rsid w:val="33F956F6"/>
    <w:rsid w:val="35235DD9"/>
    <w:rsid w:val="384A7AD5"/>
    <w:rsid w:val="3B2A4846"/>
    <w:rsid w:val="3B5373B6"/>
    <w:rsid w:val="3DA0606C"/>
    <w:rsid w:val="3EDC78BB"/>
    <w:rsid w:val="3EEB7664"/>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BF3E0B"/>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2021-03-25T03:17:30Z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