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2020年度春节职工福利采购项目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2020年度春节职工福利采购项目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2020年度春节职工福利采购项目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项目详情：</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59"/>
        <w:gridCol w:w="3217"/>
        <w:gridCol w:w="149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843"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序号</w:t>
            </w:r>
          </w:p>
        </w:tc>
        <w:tc>
          <w:tcPr>
            <w:tcW w:w="1659"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标段划分</w:t>
            </w:r>
          </w:p>
        </w:tc>
        <w:tc>
          <w:tcPr>
            <w:tcW w:w="3217"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项目要求</w:t>
            </w:r>
          </w:p>
        </w:tc>
        <w:tc>
          <w:tcPr>
            <w:tcW w:w="1497"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预算金额（单价）</w:t>
            </w:r>
          </w:p>
        </w:tc>
        <w:tc>
          <w:tcPr>
            <w:tcW w:w="1695" w:type="dxa"/>
          </w:tcPr>
          <w:p>
            <w:pPr>
              <w:pStyle w:val="13"/>
              <w:numPr>
                <w:ilvl w:val="0"/>
                <w:numId w:val="0"/>
              </w:numPr>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数量   （人份）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1659"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食用油</w:t>
            </w:r>
          </w:p>
        </w:tc>
        <w:tc>
          <w:tcPr>
            <w:tcW w:w="3217" w:type="dxa"/>
          </w:tcPr>
          <w:p>
            <w:pPr>
              <w:pStyle w:val="13"/>
              <w:numPr>
                <w:ilvl w:val="0"/>
                <w:numId w:val="0"/>
              </w:numPr>
              <w:jc w:val="center"/>
              <w:rPr>
                <w:rFonts w:hint="eastAsia" w:ascii="仿宋_GB2312" w:hAnsi="Calibri" w:eastAsia="宋体" w:cs="Times New Roman"/>
                <w:kern w:val="2"/>
                <w:sz w:val="32"/>
                <w:szCs w:val="32"/>
                <w:vertAlign w:val="baseline"/>
                <w:lang w:val="en-US" w:eastAsia="zh-CN" w:bidi="ar-SA"/>
              </w:rPr>
            </w:pPr>
            <w:r>
              <w:rPr>
                <w:rFonts w:hint="default" w:ascii="Arial" w:hAnsi="Arial" w:eastAsia="宋体" w:cs="Arial"/>
                <w:b/>
                <w:i w:val="0"/>
                <w:caps w:val="0"/>
                <w:color w:val="666666"/>
                <w:spacing w:val="0"/>
                <w:sz w:val="24"/>
                <w:szCs w:val="24"/>
                <w:shd w:val="clear" w:fill="FFFFFF"/>
              </w:rPr>
              <w:t>纯正花生油5L</w:t>
            </w:r>
            <w:r>
              <w:rPr>
                <w:rFonts w:hint="eastAsia" w:ascii="Arial" w:hAnsi="Arial" w:cs="Arial"/>
                <w:b/>
                <w:i w:val="0"/>
                <w:caps w:val="0"/>
                <w:color w:val="666666"/>
                <w:spacing w:val="0"/>
                <w:sz w:val="24"/>
                <w:szCs w:val="24"/>
                <w:shd w:val="clear" w:fill="FFFFFF"/>
                <w:lang w:val="en-US" w:eastAsia="zh-CN"/>
              </w:rPr>
              <w:t xml:space="preserve"> </w:t>
            </w:r>
            <w:r>
              <w:rPr>
                <w:rFonts w:ascii="Arial" w:hAnsi="Arial" w:eastAsia="宋体" w:cs="Arial"/>
                <w:b/>
                <w:i w:val="0"/>
                <w:caps w:val="0"/>
                <w:color w:val="666666"/>
                <w:spacing w:val="0"/>
                <w:sz w:val="24"/>
                <w:szCs w:val="24"/>
                <w:shd w:val="clear" w:fill="FFFFFF"/>
              </w:rPr>
              <w:t>非转基因食用油</w:t>
            </w:r>
          </w:p>
        </w:tc>
        <w:tc>
          <w:tcPr>
            <w:tcW w:w="1497"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105</w:t>
            </w:r>
          </w:p>
        </w:tc>
        <w:tc>
          <w:tcPr>
            <w:tcW w:w="1695" w:type="dxa"/>
          </w:tcPr>
          <w:p>
            <w:pPr>
              <w:pStyle w:val="13"/>
              <w:numPr>
                <w:ilvl w:val="0"/>
                <w:numId w:val="0"/>
              </w:numPr>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2</w:t>
            </w:r>
          </w:p>
        </w:tc>
        <w:tc>
          <w:tcPr>
            <w:tcW w:w="1659"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春节礼包</w:t>
            </w:r>
          </w:p>
        </w:tc>
        <w:tc>
          <w:tcPr>
            <w:tcW w:w="3217"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Arial" w:hAnsi="Arial" w:eastAsia="宋体" w:cs="Arial"/>
                <w:b/>
                <w:i w:val="0"/>
                <w:caps w:val="0"/>
                <w:color w:val="666666"/>
                <w:spacing w:val="0"/>
                <w:sz w:val="24"/>
                <w:szCs w:val="24"/>
                <w:shd w:val="clear" w:fill="FFFFFF"/>
                <w:lang w:val="en-US" w:eastAsia="zh-CN"/>
              </w:rPr>
              <w:t>报名公司推荐</w:t>
            </w:r>
            <w:r>
              <w:rPr>
                <w:rFonts w:hint="eastAsia" w:ascii="Arial" w:hAnsi="Arial" w:cs="Arial"/>
                <w:b/>
                <w:i w:val="0"/>
                <w:caps w:val="0"/>
                <w:color w:val="666666"/>
                <w:spacing w:val="0"/>
                <w:sz w:val="24"/>
                <w:szCs w:val="24"/>
                <w:shd w:val="clear" w:fill="FFFFFF"/>
                <w:lang w:val="en-US" w:eastAsia="zh-CN"/>
              </w:rPr>
              <w:t>礼包</w:t>
            </w:r>
            <w:r>
              <w:rPr>
                <w:rFonts w:hint="eastAsia" w:ascii="Arial" w:hAnsi="Arial" w:eastAsia="宋体" w:cs="Arial"/>
                <w:b/>
                <w:i w:val="0"/>
                <w:caps w:val="0"/>
                <w:color w:val="666666"/>
                <w:spacing w:val="0"/>
                <w:sz w:val="24"/>
                <w:szCs w:val="24"/>
                <w:shd w:val="clear" w:fill="FFFFFF"/>
                <w:lang w:val="en-US" w:eastAsia="zh-CN"/>
              </w:rPr>
              <w:t>组合，要求保证品质，实惠</w:t>
            </w:r>
            <w:r>
              <w:rPr>
                <w:rFonts w:hint="eastAsia" w:ascii="Arial" w:hAnsi="Arial" w:cs="Arial"/>
                <w:b/>
                <w:i w:val="0"/>
                <w:caps w:val="0"/>
                <w:color w:val="666666"/>
                <w:spacing w:val="0"/>
                <w:sz w:val="24"/>
                <w:szCs w:val="24"/>
                <w:shd w:val="clear" w:fill="FFFFFF"/>
                <w:lang w:val="en-US" w:eastAsia="zh-CN"/>
              </w:rPr>
              <w:t>（如水果、粗粮、肉类、坚果）</w:t>
            </w:r>
          </w:p>
        </w:tc>
        <w:tc>
          <w:tcPr>
            <w:tcW w:w="1497" w:type="dxa"/>
          </w:tcPr>
          <w:p>
            <w:pPr>
              <w:pStyle w:val="13"/>
              <w:numPr>
                <w:ilvl w:val="0"/>
                <w:numId w:val="0"/>
              </w:numPr>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195</w:t>
            </w:r>
          </w:p>
        </w:tc>
        <w:tc>
          <w:tcPr>
            <w:tcW w:w="1695" w:type="dxa"/>
          </w:tcPr>
          <w:p>
            <w:pPr>
              <w:pStyle w:val="13"/>
              <w:numPr>
                <w:ilvl w:val="0"/>
                <w:numId w:val="0"/>
              </w:numPr>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638</w:t>
            </w:r>
          </w:p>
        </w:tc>
      </w:tr>
    </w:tbl>
    <w:p>
      <w:pPr>
        <w:numPr>
          <w:ilvl w:val="0"/>
          <w:numId w:val="0"/>
        </w:numPr>
        <w:spacing w:line="560" w:lineRule="exact"/>
        <w:rPr>
          <w:rFonts w:hint="eastAsia" w:ascii="黑体" w:eastAsia="黑体"/>
          <w:color w:val="C00000"/>
          <w:sz w:val="32"/>
          <w:szCs w:val="32"/>
          <w:lang w:val="en-US" w:eastAsia="zh-CN"/>
        </w:rPr>
      </w:pPr>
      <w:r>
        <w:rPr>
          <w:rFonts w:hint="eastAsia" w:ascii="黑体" w:eastAsia="黑体"/>
          <w:sz w:val="32"/>
          <w:szCs w:val="32"/>
          <w:lang w:eastAsia="zh-CN"/>
        </w:rPr>
        <w:t>备注</w:t>
      </w:r>
      <w:r>
        <w:rPr>
          <w:rFonts w:hint="eastAsia" w:ascii="黑体" w:eastAsia="黑体"/>
          <w:sz w:val="32"/>
          <w:szCs w:val="32"/>
          <w:lang w:val="en-US" w:eastAsia="zh-CN"/>
        </w:rPr>
        <w:t>:</w:t>
      </w:r>
      <w:r>
        <w:rPr>
          <w:rFonts w:hint="eastAsia" w:ascii="黑体" w:eastAsia="黑体"/>
          <w:color w:val="C00000"/>
          <w:sz w:val="32"/>
          <w:szCs w:val="32"/>
          <w:lang w:val="en-US" w:eastAsia="zh-CN"/>
        </w:rPr>
        <w:t>具体数量以实际使用为准</w:t>
      </w:r>
    </w:p>
    <w:p>
      <w:pPr>
        <w:numPr>
          <w:ilvl w:val="0"/>
          <w:numId w:val="0"/>
        </w:numPr>
        <w:spacing w:line="560" w:lineRule="exact"/>
        <w:ind w:left="1600" w:hanging="1600" w:hangingChars="500"/>
        <w:rPr>
          <w:rFonts w:hint="eastAsia" w:ascii="黑体" w:eastAsia="黑体"/>
          <w:color w:val="C00000"/>
          <w:sz w:val="32"/>
          <w:szCs w:val="32"/>
          <w:lang w:val="en-US" w:eastAsia="zh-CN"/>
        </w:rPr>
      </w:pPr>
      <w:r>
        <w:rPr>
          <w:rFonts w:hint="eastAsia" w:ascii="黑体" w:eastAsia="黑体"/>
          <w:color w:val="C00000"/>
          <w:sz w:val="32"/>
          <w:szCs w:val="32"/>
          <w:lang w:val="en-US" w:eastAsia="zh-CN"/>
        </w:rPr>
        <w:t>项目要求：1、产品实行三包，100％保证产品品质，承诺保证同类产品同时期低于市场价格。</w:t>
      </w:r>
    </w:p>
    <w:p>
      <w:pPr>
        <w:numPr>
          <w:ilvl w:val="0"/>
          <w:numId w:val="5"/>
        </w:numPr>
        <w:spacing w:line="560" w:lineRule="exact"/>
        <w:ind w:left="1600" w:leftChars="0" w:firstLine="0" w:firstLineChars="0"/>
        <w:rPr>
          <w:rFonts w:hint="default" w:ascii="仿宋_GB2312" w:hAnsi="Calibri" w:eastAsia="仿宋_GB2312" w:cs="Times New Roman"/>
          <w:kern w:val="2"/>
          <w:sz w:val="32"/>
          <w:szCs w:val="32"/>
          <w:lang w:val="en-US" w:eastAsia="zh-CN" w:bidi="ar-SA"/>
        </w:rPr>
      </w:pPr>
      <w:r>
        <w:rPr>
          <w:rFonts w:hint="eastAsia" w:ascii="黑体" w:eastAsia="黑体"/>
          <w:color w:val="C00000"/>
          <w:sz w:val="32"/>
          <w:szCs w:val="32"/>
          <w:lang w:val="en-US" w:eastAsia="zh-CN"/>
        </w:rPr>
        <w:t>免费送货到医院并负责员工福利领取发放全过程</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6"/>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2"/>
        <w:numPr>
          <w:ilvl w:val="0"/>
          <w:numId w:val="6"/>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7"/>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pStyle w:val="2"/>
        <w:numPr>
          <w:ilvl w:val="0"/>
          <w:numId w:val="7"/>
        </w:numPr>
        <w:ind w:left="0" w:leftChars="0"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numPr>
          <w:ilvl w:val="0"/>
          <w:numId w:val="7"/>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因疫情防控要求，本项目采用网上报名，请各报名单位将报名所需材料电子版，发至招标办邮箱，并注明联系人、联系方式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13"/>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32"/>
          <w:szCs w:val="32"/>
          <w:lang w:eastAsia="zh-CN"/>
        </w:rPr>
      </w:pPr>
      <w:r>
        <w:rPr>
          <w:rFonts w:hint="eastAsia" w:ascii="仿宋_GB2312" w:eastAsia="仿宋_GB2312"/>
          <w:b/>
          <w:sz w:val="32"/>
          <w:szCs w:val="32"/>
        </w:rPr>
        <w:t>评审须知：</w:t>
      </w:r>
      <w:r>
        <w:rPr>
          <w:rFonts w:hint="eastAsia" w:ascii="仿宋_GB2312" w:eastAsia="仿宋_GB2312"/>
          <w:color w:val="FF0000"/>
          <w:sz w:val="32"/>
          <w:szCs w:val="32"/>
        </w:rPr>
        <w:t>携带</w:t>
      </w:r>
      <w:r>
        <w:rPr>
          <w:rFonts w:hint="eastAsia" w:ascii="仿宋_GB2312" w:eastAsia="仿宋_GB2312"/>
          <w:color w:val="FF0000"/>
          <w:sz w:val="32"/>
          <w:szCs w:val="32"/>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13"/>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13"/>
        <w:rPr>
          <w:rFonts w:hint="default" w:ascii="仿宋_GB2312" w:eastAsia="仿宋_GB2312"/>
          <w:b/>
          <w:sz w:val="32"/>
          <w:szCs w:val="32"/>
        </w:rPr>
      </w:pPr>
    </w:p>
    <w:p>
      <w:pPr>
        <w:pStyle w:val="13"/>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8"/>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9"/>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lang w:val="en-US" w:eastAsia="zh-CN"/>
              </w:rPr>
            </w:pPr>
            <w:r>
              <w:rPr>
                <w:rFonts w:hint="eastAsia"/>
                <w:lang w:val="en-US" w:eastAsia="zh-CN"/>
              </w:rPr>
              <w:t>根据以下几个方面进行评分:</w:t>
            </w:r>
          </w:p>
          <w:p>
            <w:pPr>
              <w:pStyle w:val="2"/>
              <w:numPr>
                <w:ilvl w:val="0"/>
                <w:numId w:val="10"/>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根据质量层级打分（如要求一级，提供产品在一级以上可酌情加分）在0-10分范围内打分</w:t>
            </w:r>
          </w:p>
          <w:p>
            <w:pPr>
              <w:pStyle w:val="2"/>
              <w:numPr>
                <w:ilvl w:val="0"/>
                <w:numId w:val="10"/>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根据所提供产品的是否符合绿色、健康无公害主题，以及产品自身优势在0-10分范围内打分</w:t>
            </w:r>
          </w:p>
          <w:p>
            <w:pPr>
              <w:pStyle w:val="2"/>
              <w:numPr>
                <w:ilvl w:val="0"/>
                <w:numId w:val="10"/>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礼包组合，根据礼包组合的合理性、实惠程度在0-20分范围内打分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1.在人员、资金等方面具有相应较强的供应和售后服务能力的得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4"/>
              <w:widowControl w:val="0"/>
              <w:numPr>
                <w:ilvl w:val="0"/>
                <w:numId w:val="11"/>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根据交货时间及服务方案在0-5分范围内进行打分</w:t>
            </w:r>
          </w:p>
          <w:p>
            <w:pPr>
              <w:pStyle w:val="14"/>
              <w:widowControl w:val="0"/>
              <w:numPr>
                <w:ilvl w:val="0"/>
                <w:numId w:val="11"/>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产品是否有备选方案，可由职工自由搭配的情况在0-5分范围内进行打分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需包含品牌、规格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bookmarkStart w:id="15" w:name="_GoBack"/>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673B086"/>
    <w:multiLevelType w:val="singleLevel"/>
    <w:tmpl w:val="B673B086"/>
    <w:lvl w:ilvl="0" w:tentative="0">
      <w:start w:val="1"/>
      <w:numFmt w:val="decimal"/>
      <w:lvlText w:val="%1."/>
      <w:lvlJc w:val="left"/>
      <w:pPr>
        <w:tabs>
          <w:tab w:val="left" w:pos="312"/>
        </w:tabs>
      </w:pPr>
    </w:lvl>
  </w:abstractNum>
  <w:abstractNum w:abstractNumId="2">
    <w:nsid w:val="BB301760"/>
    <w:multiLevelType w:val="singleLevel"/>
    <w:tmpl w:val="BB301760"/>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CC77ED2E"/>
    <w:multiLevelType w:val="singleLevel"/>
    <w:tmpl w:val="CC77ED2E"/>
    <w:lvl w:ilvl="0" w:tentative="0">
      <w:start w:val="1"/>
      <w:numFmt w:val="decimal"/>
      <w:suff w:val="nothing"/>
      <w:lvlText w:val="%1、"/>
      <w:lvlJc w:val="left"/>
    </w:lvl>
  </w:abstractNum>
  <w:abstractNum w:abstractNumId="5">
    <w:nsid w:val="D109BA4C"/>
    <w:multiLevelType w:val="singleLevel"/>
    <w:tmpl w:val="D109BA4C"/>
    <w:lvl w:ilvl="0" w:tentative="0">
      <w:start w:val="1"/>
      <w:numFmt w:val="chineseCounting"/>
      <w:suff w:val="space"/>
      <w:lvlText w:val="第%1章"/>
      <w:lvlJc w:val="left"/>
      <w:rPr>
        <w:rFonts w:hint="eastAsia"/>
      </w:rPr>
    </w:lvl>
  </w:abstractNum>
  <w:abstractNum w:abstractNumId="6">
    <w:nsid w:val="E86F39FF"/>
    <w:multiLevelType w:val="singleLevel"/>
    <w:tmpl w:val="E86F39FF"/>
    <w:lvl w:ilvl="0" w:tentative="0">
      <w:start w:val="2"/>
      <w:numFmt w:val="decimal"/>
      <w:suff w:val="nothing"/>
      <w:lvlText w:val="%1、"/>
      <w:lvlJc w:val="left"/>
      <w:pPr>
        <w:ind w:left="1600" w:firstLine="0"/>
      </w:pPr>
    </w:lvl>
  </w:abstractNum>
  <w:abstractNum w:abstractNumId="7">
    <w:nsid w:val="F5F59E80"/>
    <w:multiLevelType w:val="singleLevel"/>
    <w:tmpl w:val="F5F59E80"/>
    <w:lvl w:ilvl="0" w:tentative="0">
      <w:start w:val="1"/>
      <w:numFmt w:val="decimal"/>
      <w:suff w:val="space"/>
      <w:lvlText w:val="%1."/>
      <w:lvlJc w:val="left"/>
    </w:lvl>
  </w:abstractNum>
  <w:abstractNum w:abstractNumId="8">
    <w:nsid w:val="3636DBDA"/>
    <w:multiLevelType w:val="singleLevel"/>
    <w:tmpl w:val="3636DBDA"/>
    <w:lvl w:ilvl="0" w:tentative="0">
      <w:start w:val="1"/>
      <w:numFmt w:val="chineseCounting"/>
      <w:suff w:val="space"/>
      <w:lvlText w:val="第%1章"/>
      <w:lvlJc w:val="left"/>
      <w:rPr>
        <w:rFonts w:hint="eastAsia"/>
      </w:rPr>
    </w:lvl>
  </w:abstractNum>
  <w:abstractNum w:abstractNumId="9">
    <w:nsid w:val="3E577C4A"/>
    <w:multiLevelType w:val="singleLevel"/>
    <w:tmpl w:val="3E577C4A"/>
    <w:lvl w:ilvl="0" w:tentative="0">
      <w:start w:val="2"/>
      <w:numFmt w:val="decimal"/>
      <w:suff w:val="nothing"/>
      <w:lvlText w:val="%1、"/>
      <w:lvlJc w:val="left"/>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8"/>
  </w:num>
  <w:num w:numId="2">
    <w:abstractNumId w:val="10"/>
  </w:num>
  <w:num w:numId="3">
    <w:abstractNumId w:val="5"/>
  </w:num>
  <w:num w:numId="4">
    <w:abstractNumId w:val="3"/>
  </w:num>
  <w:num w:numId="5">
    <w:abstractNumId w:val="6"/>
  </w:num>
  <w:num w:numId="6">
    <w:abstractNumId w:val="4"/>
  </w:num>
  <w:num w:numId="7">
    <w:abstractNumId w:val="9"/>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B9209F"/>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4B67130"/>
    <w:rsid w:val="4656733B"/>
    <w:rsid w:val="4857102A"/>
    <w:rsid w:val="486D7AF7"/>
    <w:rsid w:val="494804BB"/>
    <w:rsid w:val="49887A9F"/>
    <w:rsid w:val="49B53BA8"/>
    <w:rsid w:val="4A2C2F0C"/>
    <w:rsid w:val="4B4638AD"/>
    <w:rsid w:val="4B9C1C97"/>
    <w:rsid w:val="4BC500AA"/>
    <w:rsid w:val="4FCE5CD6"/>
    <w:rsid w:val="517546EA"/>
    <w:rsid w:val="53501B3C"/>
    <w:rsid w:val="550B217C"/>
    <w:rsid w:val="563E288F"/>
    <w:rsid w:val="57162389"/>
    <w:rsid w:val="57575861"/>
    <w:rsid w:val="580B0D4A"/>
    <w:rsid w:val="593F203A"/>
    <w:rsid w:val="5AD50E25"/>
    <w:rsid w:val="5D4D3632"/>
    <w:rsid w:val="5D8E098C"/>
    <w:rsid w:val="5DA4791D"/>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无间隔1"/>
    <w:basedOn w:val="1"/>
    <w:qFormat/>
    <w:uiPriority w:val="1"/>
    <w:pPr>
      <w:spacing w:line="400" w:lineRule="exact"/>
    </w:pPr>
    <w:rPr>
      <w:rFonts w:ascii="Calibri" w:hAnsi="Calibri"/>
      <w:sz w:val="24"/>
      <w:szCs w:val="22"/>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2021-01-22T11:29:15Z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