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新郑市公立人民医院县域医疗中心项目前期投资咨询服务项目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2020年11月10日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bookmarkStart w:id="15" w:name="_GoBack"/>
      <w:bookmarkEnd w:id="15"/>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新郑市公立人民医院县域医疗中心项目前期投资咨询服务项目</w:t>
      </w:r>
      <w:r>
        <w:rPr>
          <w:rFonts w:hint="eastAsia" w:ascii="仿宋_GB2312" w:eastAsia="仿宋_GB2312"/>
          <w:sz w:val="32"/>
          <w:szCs w:val="32"/>
          <w:lang w:eastAsia="zh-CN"/>
        </w:rPr>
        <w:t>，由于一次报名不足三家不符合开标条件，现进行二次公告，具体事宜公布如下：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新郑市公立人民医院县域医疗中心项目前期投资咨询服务项目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新郑市公立人民医院县域医疗中心项目包括医疗设备购置和信息化升级改造两方面，医疗设备购置包括数字式心电图机（心电图机）、床旁血液净化系统、高流量无创呼吸湿化治疗仪及耳内镜标准手术器械等 71 项设备，信息化升级改造包括电子病历评级及互联互通项目改造、影像系统三维重建、远程心电项目及病案无纸化等内容。</w:t>
      </w:r>
    </w:p>
    <w:p>
      <w:pPr>
        <w:pStyle w:val="13"/>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投标单位需</w:t>
      </w:r>
      <w:r>
        <w:rPr>
          <w:rFonts w:hint="eastAsia" w:ascii="仿宋_GB2312" w:hAnsi="Calibri" w:eastAsia="仿宋_GB2312" w:cs="Times New Roman"/>
          <w:kern w:val="2"/>
          <w:sz w:val="32"/>
          <w:szCs w:val="32"/>
          <w:lang w:val="en-US" w:eastAsia="zh-CN" w:bidi="ar-SA"/>
        </w:rPr>
        <w:t>依据新郑市公立人民医院发展规划及有关政策、承办单位提供的工程设计基础资料</w:t>
      </w:r>
      <w:r>
        <w:rPr>
          <w:rFonts w:hint="eastAsia" w:ascii="仿宋_GB2312" w:eastAsia="仿宋_GB2312" w:cs="Times New Roman"/>
          <w:kern w:val="2"/>
          <w:sz w:val="32"/>
          <w:szCs w:val="32"/>
          <w:lang w:val="en-US" w:eastAsia="zh-CN" w:bidi="ar-SA"/>
        </w:rPr>
        <w:t>对</w:t>
      </w:r>
      <w:r>
        <w:rPr>
          <w:rFonts w:hint="eastAsia" w:ascii="仿宋_GB2312" w:hAnsi="Calibri" w:eastAsia="仿宋_GB2312" w:cs="Times New Roman"/>
          <w:kern w:val="2"/>
          <w:sz w:val="32"/>
          <w:szCs w:val="32"/>
          <w:lang w:val="en-US" w:eastAsia="zh-CN" w:bidi="ar-SA"/>
        </w:rPr>
        <w:t>建设新郑市公立人民医院县域医疗中心项目的可行性研究</w:t>
      </w:r>
      <w:r>
        <w:rPr>
          <w:rFonts w:hint="eastAsia" w:ascii="仿宋_GB2312" w:eastAsia="仿宋_GB2312" w:cs="Times New Roman"/>
          <w:kern w:val="2"/>
          <w:sz w:val="32"/>
          <w:szCs w:val="32"/>
          <w:lang w:val="en-US" w:eastAsia="zh-CN" w:bidi="ar-SA"/>
        </w:rPr>
        <w:t>进行研究，并编制可行性研究报告</w:t>
      </w:r>
      <w:r>
        <w:rPr>
          <w:rFonts w:hint="eastAsia" w:ascii="仿宋_GB2312" w:hAnsi="Calibri"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color w:val="FF0000"/>
          <w:sz w:val="32"/>
          <w:szCs w:val="32"/>
          <w:lang w:val="en-US" w:eastAsia="zh-CN"/>
        </w:rPr>
        <w:t>需具有咨询资质，具有履行合同所必需的设备和专业技术能力（需提供相关证明材料）</w:t>
      </w:r>
      <w:r>
        <w:rPr>
          <w:rFonts w:hint="eastAsia" w:ascii="仿宋_GB2312" w:eastAsia="仿宋_GB2312"/>
          <w:sz w:val="32"/>
          <w:szCs w:val="32"/>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、咨询资质证明材料。</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13"/>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30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30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30</w:t>
      </w:r>
    </w:p>
    <w:p>
      <w:pPr>
        <w:spacing w:line="560" w:lineRule="exact"/>
        <w:ind w:right="-92" w:rightChars="-44" w:firstLine="482" w:firstLineChars="200"/>
        <w:rPr>
          <w:rFonts w:hint="eastAsia" w:ascii="宋体" w:hAnsi="宋体"/>
          <w:b/>
          <w:bCs/>
          <w:sz w:val="24"/>
          <w:lang w:val="en-US" w:eastAsia="zh-CN"/>
        </w:rPr>
      </w:pPr>
      <w:r>
        <w:rPr>
          <w:rFonts w:hint="eastAsia" w:ascii="宋体" w:hAnsi="宋体"/>
          <w:b/>
          <w:bCs/>
          <w:sz w:val="24"/>
          <w:lang w:val="en-US" w:eastAsia="zh-CN"/>
        </w:rPr>
        <w:t>二、技术得分（30分）</w:t>
      </w:r>
    </w:p>
    <w:p>
      <w:pPr>
        <w:pStyle w:val="13"/>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对项目的理解（10分），对项目理解全面、准确，认识深刻得5分，对项目理解较透彻，认识较深刻得3分，对项目理解一般，认识一般得1分，完全没有相关内容的，本评分项得0分。</w:t>
      </w:r>
    </w:p>
    <w:p>
      <w:pPr>
        <w:pStyle w:val="13"/>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工作内容（10分）对项目工作内容理解全面、系统、到位得5分，对主要内容理解较全面、较系统、较到位得3分，对主要内容理解不全面、不系统、不到位得1分，完全没有相关内容的，本评分项得0分。</w:t>
      </w:r>
    </w:p>
    <w:p>
      <w:pPr>
        <w:pStyle w:val="13"/>
        <w:numPr>
          <w:ilvl w:val="0"/>
          <w:numId w:val="8"/>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工作进度计划安排（10分）根据投标人对项目的实施进度计划详细、合理程度在10-2分范围内进行打分，无相关内容的，本评分项得0分。</w:t>
      </w:r>
    </w:p>
    <w:p>
      <w:pPr>
        <w:pStyle w:val="13"/>
        <w:numPr>
          <w:ilvl w:val="0"/>
          <w:numId w:val="0"/>
        </w:numPr>
        <w:ind w:leftChars="200"/>
        <w:rPr>
          <w:rFonts w:hint="eastAsia" w:ascii="宋体" w:hAnsi="宋体" w:eastAsiaTheme="minorEastAsia" w:cstheme="minorBidi"/>
          <w:b/>
          <w:bCs/>
          <w:kern w:val="2"/>
          <w:sz w:val="24"/>
          <w:szCs w:val="24"/>
          <w:lang w:val="en-US" w:eastAsia="zh-CN" w:bidi="ar-SA"/>
        </w:rPr>
      </w:pPr>
      <w:r>
        <w:rPr>
          <w:rFonts w:hint="eastAsia" w:ascii="宋体" w:hAnsi="宋体" w:eastAsiaTheme="minorEastAsia" w:cstheme="minorBidi"/>
          <w:b/>
          <w:bCs/>
          <w:kern w:val="2"/>
          <w:sz w:val="24"/>
          <w:szCs w:val="24"/>
          <w:lang w:val="en-US" w:eastAsia="zh-CN" w:bidi="ar-SA"/>
        </w:rPr>
        <w:t>三、公司实力（40分）</w:t>
      </w:r>
    </w:p>
    <w:p>
      <w:pPr>
        <w:pStyle w:val="13"/>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公司资质（5分）具有工程咨询单位甲级资质得5分，具有工程咨询单位乙级资质得3分，具有工程咨询单位乙级资质得1分。</w:t>
      </w:r>
    </w:p>
    <w:p>
      <w:pPr>
        <w:pStyle w:val="13"/>
        <w:numPr>
          <w:ilvl w:val="0"/>
          <w:numId w:val="9"/>
        </w:numPr>
        <w:tabs>
          <w:tab w:val="clear" w:pos="312"/>
        </w:tabs>
        <w:ind w:leftChars="200"/>
        <w:rPr>
          <w:rFonts w:hint="eastAsia" w:ascii="宋体" w:hAnsi="宋体"/>
          <w:bCs/>
          <w:sz w:val="24"/>
          <w:highlight w:val="none"/>
          <w:lang w:val="en-US" w:eastAsia="zh-CN"/>
        </w:rPr>
      </w:pPr>
      <w:r>
        <w:rPr>
          <w:rFonts w:hint="eastAsia" w:ascii="宋体" w:hAnsi="宋体"/>
          <w:bCs/>
          <w:sz w:val="24"/>
          <w:highlight w:val="none"/>
          <w:lang w:val="en-US" w:eastAsia="zh-CN"/>
        </w:rPr>
        <w:t>单位组织机构（5分）有本地相关业绩5分，无本地相关业绩3分。</w:t>
      </w:r>
    </w:p>
    <w:p>
      <w:pPr>
        <w:pStyle w:val="13"/>
        <w:numPr>
          <w:ilvl w:val="0"/>
          <w:numId w:val="9"/>
        </w:numPr>
        <w:tabs>
          <w:tab w:val="clear" w:pos="312"/>
        </w:tabs>
        <w:ind w:leftChars="200"/>
        <w:rPr>
          <w:rFonts w:hint="eastAsia" w:ascii="宋体" w:hAnsi="宋体"/>
          <w:bCs/>
          <w:sz w:val="24"/>
          <w:lang w:val="en-US" w:eastAsia="zh-CN"/>
        </w:rPr>
      </w:pPr>
      <w:r>
        <w:rPr>
          <w:rFonts w:hint="eastAsia" w:ascii="宋体" w:hAnsi="宋体"/>
          <w:bCs/>
          <w:sz w:val="24"/>
          <w:lang w:val="en-US" w:eastAsia="zh-CN"/>
        </w:rPr>
        <w:t>企业业绩（15分），三年内承担过类似项目每提供一项得5分，满分15分（需附合同或中标通知书）</w:t>
      </w:r>
    </w:p>
    <w:p>
      <w:pPr>
        <w:pStyle w:val="13"/>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项目组织机构设置（5分），项目组织管理制度齐全，措施完善，人数为8人以上的为满分5分，5-8人得3分，5人以下得1分</w:t>
      </w:r>
    </w:p>
    <w:p>
      <w:pPr>
        <w:pStyle w:val="13"/>
        <w:numPr>
          <w:ilvl w:val="0"/>
          <w:numId w:val="9"/>
        </w:numPr>
        <w:tabs>
          <w:tab w:val="clear" w:pos="312"/>
        </w:tabs>
        <w:ind w:leftChars="200"/>
        <w:rPr>
          <w:rFonts w:hint="eastAsia" w:ascii="宋体" w:hAnsi="宋体"/>
          <w:bCs/>
          <w:color w:val="auto"/>
          <w:sz w:val="24"/>
          <w:lang w:val="en-US" w:eastAsia="zh-CN"/>
        </w:rPr>
      </w:pPr>
      <w:r>
        <w:rPr>
          <w:rFonts w:hint="eastAsia" w:ascii="宋体" w:hAnsi="宋体"/>
          <w:bCs/>
          <w:color w:val="auto"/>
          <w:sz w:val="24"/>
          <w:lang w:val="en-US" w:eastAsia="zh-CN"/>
        </w:rPr>
        <w:t>项目组织人员资质（10分），具有高级工程师（副高）资格的，每个得1分，具有教授级高级工程师（正高）的，每个得1.5分，最多得5分。拟投入本项目人员参与完成过至少一项类似项目业绩得1.5分，最多得5分。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13"/>
        <w:rPr>
          <w:rFonts w:ascii="黑体" w:hAnsi="黑体" w:eastAsia="黑体" w:cs="黑体"/>
          <w:sz w:val="32"/>
          <w:szCs w:val="32"/>
        </w:rPr>
      </w:pPr>
    </w:p>
    <w:p>
      <w:pPr>
        <w:pStyle w:val="13"/>
        <w:rPr>
          <w:rFonts w:ascii="黑体" w:hAnsi="黑体" w:eastAsia="黑体" w:cs="黑体"/>
          <w:sz w:val="32"/>
          <w:szCs w:val="32"/>
        </w:rPr>
      </w:pPr>
    </w:p>
    <w:p>
      <w:pPr>
        <w:rPr>
          <w:rFonts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hint="eastAsia"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54C9"/>
    <w:multiLevelType w:val="singleLevel"/>
    <w:tmpl w:val="8A5754C9"/>
    <w:lvl w:ilvl="0" w:tentative="0">
      <w:start w:val="1"/>
      <w:numFmt w:val="decimal"/>
      <w:lvlText w:val="%1."/>
      <w:lvlJc w:val="left"/>
      <w:pPr>
        <w:tabs>
          <w:tab w:val="left" w:pos="312"/>
        </w:tabs>
        <w:ind w:left="240" w:leftChars="0" w:firstLine="0" w:firstLineChars="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AD0B94F"/>
    <w:multiLevelType w:val="singleLevel"/>
    <w:tmpl w:val="3AD0B94F"/>
    <w:lvl w:ilvl="0" w:tentative="0">
      <w:start w:val="1"/>
      <w:numFmt w:val="decimal"/>
      <w:lvlText w:val="%1."/>
      <w:lvlJc w:val="left"/>
      <w:pPr>
        <w:tabs>
          <w:tab w:val="left" w:pos="312"/>
        </w:tabs>
      </w:p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7"/>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353EA7"/>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D4656C"/>
    <w:rsid w:val="16A35C46"/>
    <w:rsid w:val="17D81E85"/>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A7E0BB7"/>
    <w:rsid w:val="2B0A7B44"/>
    <w:rsid w:val="2F632DBF"/>
    <w:rsid w:val="30217C48"/>
    <w:rsid w:val="31827FC3"/>
    <w:rsid w:val="33F956F6"/>
    <w:rsid w:val="36951F21"/>
    <w:rsid w:val="384A7AD5"/>
    <w:rsid w:val="3B132AD9"/>
    <w:rsid w:val="3B2A4846"/>
    <w:rsid w:val="3B5373B6"/>
    <w:rsid w:val="3EDC78BB"/>
    <w:rsid w:val="44B67130"/>
    <w:rsid w:val="44D5542C"/>
    <w:rsid w:val="4656733B"/>
    <w:rsid w:val="46AA6BF0"/>
    <w:rsid w:val="486D7AF7"/>
    <w:rsid w:val="494804BB"/>
    <w:rsid w:val="4B4638AD"/>
    <w:rsid w:val="4B9C1C97"/>
    <w:rsid w:val="4BC500AA"/>
    <w:rsid w:val="4C6C1786"/>
    <w:rsid w:val="4FCE5CD6"/>
    <w:rsid w:val="53501B3C"/>
    <w:rsid w:val="53F32B2D"/>
    <w:rsid w:val="550B217C"/>
    <w:rsid w:val="562E3236"/>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2AF016F"/>
    <w:rsid w:val="738608DB"/>
    <w:rsid w:val="745F5922"/>
    <w:rsid w:val="78481C82"/>
    <w:rsid w:val="78BC0632"/>
    <w:rsid w:val="78BE0AF1"/>
    <w:rsid w:val="792701E6"/>
    <w:rsid w:val="798E357B"/>
    <w:rsid w:val="7A16624F"/>
    <w:rsid w:val="7AFC68A2"/>
    <w:rsid w:val="7BC97F92"/>
    <w:rsid w:val="7C893728"/>
    <w:rsid w:val="7CF966CC"/>
    <w:rsid w:val="7D0B50F4"/>
    <w:rsid w:val="7ED85B4B"/>
    <w:rsid w:val="7EEA09A6"/>
    <w:rsid w:val="7F4B688C"/>
    <w:rsid w:val="7FC0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2020-11-10T01:03:17Z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