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新郑市公立人民医院县域医疗中心项目前期投资咨询服务项目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2020年10月26日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val="en-US" w:eastAsia="zh-CN"/>
        </w:rPr>
        <w:t>新郑市公立人民医院县域医疗中心项目前期投资咨询服务项目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新郑市公立人民医院县域医疗中心项目前期投资咨询服务项目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新郑市公立人民医院县域医疗中心项目包括医疗设备购置和信息化升级改造两方面，医疗设备购置包括数字式心电图机（心电图机）、床旁血液净化系统、高流量无创呼吸湿化治疗仪及耳内镜标准手术器械等 71 项设备，信息化升级改造包括电子病历评级及互联互通项目改造、影像系统三维重建、远程心电项目及病案无纸化等内容。</w:t>
      </w:r>
    </w:p>
    <w:p>
      <w:pPr>
        <w:pStyle w:val="2"/>
        <w:ind w:firstLine="640" w:firstLineChars="200"/>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投标单位需</w:t>
      </w:r>
      <w:r>
        <w:rPr>
          <w:rFonts w:hint="eastAsia" w:ascii="仿宋_GB2312" w:hAnsi="Calibri" w:eastAsia="仿宋_GB2312" w:cs="Times New Roman"/>
          <w:kern w:val="2"/>
          <w:sz w:val="32"/>
          <w:szCs w:val="32"/>
          <w:lang w:val="en-US" w:eastAsia="zh-CN" w:bidi="ar-SA"/>
        </w:rPr>
        <w:t>依据新郑市公立人民医院发展规划及有关政策、承办单位提供的工程设计基础资料</w:t>
      </w:r>
      <w:r>
        <w:rPr>
          <w:rFonts w:hint="eastAsia" w:ascii="仿宋_GB2312" w:eastAsia="仿宋_GB2312" w:cs="Times New Roman"/>
          <w:kern w:val="2"/>
          <w:sz w:val="32"/>
          <w:szCs w:val="32"/>
          <w:lang w:val="en-US" w:eastAsia="zh-CN" w:bidi="ar-SA"/>
        </w:rPr>
        <w:t>对</w:t>
      </w:r>
      <w:r>
        <w:rPr>
          <w:rFonts w:hint="eastAsia" w:ascii="仿宋_GB2312" w:hAnsi="Calibri" w:eastAsia="仿宋_GB2312" w:cs="Times New Roman"/>
          <w:kern w:val="2"/>
          <w:sz w:val="32"/>
          <w:szCs w:val="32"/>
          <w:lang w:val="en-US" w:eastAsia="zh-CN" w:bidi="ar-SA"/>
        </w:rPr>
        <w:t>建设新郑市公立人民医院县域医疗中心项目的可行性研究</w:t>
      </w:r>
      <w:r>
        <w:rPr>
          <w:rFonts w:hint="eastAsia" w:ascii="仿宋_GB2312" w:eastAsia="仿宋_GB2312" w:cs="Times New Roman"/>
          <w:kern w:val="2"/>
          <w:sz w:val="32"/>
          <w:szCs w:val="32"/>
          <w:lang w:val="en-US" w:eastAsia="zh-CN" w:bidi="ar-SA"/>
        </w:rPr>
        <w:t>进行研究，并编制可行性研究报告</w:t>
      </w:r>
      <w:r>
        <w:rPr>
          <w:rFonts w:hint="eastAsia" w:ascii="仿宋_GB2312" w:hAnsi="Calibri" w:eastAsia="仿宋_GB2312" w:cs="Times New Roman"/>
          <w:kern w:val="2"/>
          <w:sz w:val="32"/>
          <w:szCs w:val="32"/>
          <w:lang w:val="en-US" w:eastAsia="zh-CN" w:bidi="ar-SA"/>
        </w:rPr>
        <w:t>。</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color w:val="FF0000"/>
          <w:sz w:val="32"/>
          <w:szCs w:val="32"/>
          <w:lang w:val="en-US" w:eastAsia="zh-CN"/>
        </w:rPr>
        <w:t>需具有咨询资质，具有履行合同所必需的设备和专业技术能力（需提供相关证明材料）</w:t>
      </w:r>
      <w:r>
        <w:rPr>
          <w:rFonts w:hint="eastAsia" w:ascii="仿宋_GB2312" w:eastAsia="仿宋_GB2312"/>
          <w:sz w:val="32"/>
          <w:szCs w:val="32"/>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right="0"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30</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、咨询资质证明材料。</w:t>
      </w:r>
      <w:bookmarkStart w:id="15" w:name="_GoBack"/>
      <w:bookmarkEnd w:id="15"/>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hint="eastAsia" w:ascii="仿宋_GB2312" w:eastAsia="仿宋_GB2312"/>
          <w:sz w:val="32"/>
          <w:szCs w:val="32"/>
          <w:lang w:eastAsia="zh-CN"/>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响应文件应加贴封条，进行密封。</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p>
      <w:pPr>
        <w:spacing w:line="500" w:lineRule="exact"/>
        <w:ind w:firstLine="482" w:firstLineChars="200"/>
        <w:jc w:val="left"/>
        <w:rPr>
          <w:rFonts w:hint="eastAsia" w:ascii="宋体" w:hAnsi="宋体" w:eastAsia="黑体"/>
          <w:b/>
          <w:bCs/>
          <w:sz w:val="24"/>
        </w:rPr>
      </w:pPr>
    </w:p>
    <w:p>
      <w:pPr>
        <w:spacing w:line="500" w:lineRule="exact"/>
        <w:ind w:firstLine="482" w:firstLineChars="200"/>
        <w:jc w:val="left"/>
        <w:rPr>
          <w:rFonts w:hint="eastAsia" w:ascii="宋体" w:hAnsi="宋体" w:eastAsia="黑体"/>
          <w:b/>
          <w:bCs/>
          <w:sz w:val="24"/>
        </w:rPr>
      </w:pPr>
      <w:r>
        <w:rPr>
          <w:rFonts w:hint="eastAsia" w:ascii="宋体" w:hAnsi="宋体" w:eastAsia="黑体"/>
          <w:b/>
          <w:bCs/>
          <w:sz w:val="24"/>
        </w:rPr>
        <w:t>综合评估法（满分100分）</w:t>
      </w:r>
    </w:p>
    <w:p>
      <w:pPr>
        <w:spacing w:line="560" w:lineRule="exact"/>
        <w:ind w:right="-92" w:rightChars="-44" w:firstLine="482" w:firstLineChars="200"/>
        <w:rPr>
          <w:rFonts w:hint="eastAsia" w:ascii="宋体" w:hAnsi="宋体"/>
          <w:sz w:val="24"/>
        </w:rPr>
      </w:pPr>
      <w:r>
        <w:rPr>
          <w:rFonts w:hint="eastAsia" w:ascii="宋体" w:hAnsi="宋体"/>
          <w:b/>
          <w:bCs/>
          <w:sz w:val="24"/>
        </w:rPr>
        <w:t>一、</w:t>
      </w:r>
      <w:r>
        <w:rPr>
          <w:rFonts w:hint="eastAsia" w:ascii="宋体" w:hAnsi="宋体"/>
          <w:b/>
          <w:bCs/>
          <w:sz w:val="24"/>
          <w:highlight w:val="none"/>
          <w:lang w:eastAsia="zh-CN"/>
        </w:rPr>
        <w:t>响应</w:t>
      </w:r>
      <w:r>
        <w:rPr>
          <w:rFonts w:hint="eastAsia" w:ascii="宋体" w:hAnsi="宋体"/>
          <w:b/>
          <w:bCs/>
          <w:sz w:val="24"/>
          <w:highlight w:val="none"/>
        </w:rPr>
        <w:t>报价（</w:t>
      </w:r>
      <w:r>
        <w:rPr>
          <w:rFonts w:hint="eastAsia" w:ascii="宋体" w:hAnsi="宋体"/>
          <w:b/>
          <w:bCs/>
          <w:sz w:val="24"/>
          <w:highlight w:val="none"/>
          <w:lang w:val="en-US" w:eastAsia="zh-CN"/>
        </w:rPr>
        <w:t>30</w:t>
      </w:r>
      <w:r>
        <w:rPr>
          <w:rFonts w:hint="eastAsia" w:ascii="宋体" w:hAnsi="宋体"/>
          <w:b/>
          <w:bCs/>
          <w:sz w:val="24"/>
          <w:highlight w:val="none"/>
        </w:rPr>
        <w:t>分）</w:t>
      </w:r>
      <w:r>
        <w:rPr>
          <w:rFonts w:hint="eastAsia" w:ascii="宋体" w:hAnsi="宋体"/>
          <w:sz w:val="24"/>
        </w:rPr>
        <w:t xml:space="preserve"> </w:t>
      </w:r>
    </w:p>
    <w:p>
      <w:pPr>
        <w:spacing w:line="560" w:lineRule="exact"/>
        <w:ind w:right="-92" w:rightChars="-44" w:firstLine="480" w:firstLineChars="200"/>
        <w:rPr>
          <w:rFonts w:hint="eastAsia" w:ascii="宋体" w:hAnsi="宋体"/>
          <w:bCs/>
          <w:sz w:val="24"/>
        </w:rPr>
      </w:pPr>
      <w:r>
        <w:rPr>
          <w:rFonts w:hint="eastAsia" w:ascii="宋体" w:hAnsi="宋体"/>
          <w:bCs/>
          <w:sz w:val="24"/>
        </w:rPr>
        <w:t>满足招标文件要求且</w:t>
      </w:r>
      <w:r>
        <w:rPr>
          <w:rFonts w:hint="eastAsia" w:ascii="宋体" w:hAnsi="宋体"/>
          <w:bCs/>
          <w:sz w:val="24"/>
          <w:lang w:eastAsia="zh-CN"/>
        </w:rPr>
        <w:t>响应</w:t>
      </w:r>
      <w:r>
        <w:rPr>
          <w:rFonts w:hint="eastAsia" w:ascii="宋体" w:hAnsi="宋体"/>
          <w:bCs/>
          <w:sz w:val="24"/>
        </w:rPr>
        <w:t>报价折扣率最低值为评标基准价，得满分</w:t>
      </w:r>
      <w:r>
        <w:rPr>
          <w:rFonts w:hint="eastAsia" w:ascii="宋体" w:hAnsi="宋体"/>
          <w:bCs/>
          <w:sz w:val="24"/>
          <w:lang w:val="en-US" w:eastAsia="zh-CN"/>
        </w:rPr>
        <w:t>30</w:t>
      </w:r>
      <w:r>
        <w:rPr>
          <w:rFonts w:hint="eastAsia" w:ascii="宋体" w:hAnsi="宋体"/>
          <w:bCs/>
          <w:sz w:val="24"/>
        </w:rPr>
        <w:t>分，其余</w:t>
      </w:r>
      <w:r>
        <w:rPr>
          <w:rFonts w:hint="eastAsia" w:ascii="宋体" w:hAnsi="宋体"/>
          <w:bCs/>
          <w:sz w:val="24"/>
          <w:lang w:eastAsia="zh-CN"/>
        </w:rPr>
        <w:t>响应</w:t>
      </w:r>
      <w:r>
        <w:rPr>
          <w:rFonts w:hint="eastAsia" w:ascii="宋体" w:hAnsi="宋体"/>
          <w:bCs/>
          <w:sz w:val="24"/>
        </w:rPr>
        <w:t>人得分按照以下公式计算：</w:t>
      </w:r>
    </w:p>
    <w:p>
      <w:pPr>
        <w:spacing w:line="560" w:lineRule="exact"/>
        <w:ind w:right="-92" w:rightChars="-44" w:firstLine="480" w:firstLineChars="200"/>
        <w:rPr>
          <w:rFonts w:hint="eastAsia" w:ascii="宋体" w:hAnsi="宋体"/>
          <w:bCs/>
          <w:sz w:val="24"/>
          <w:lang w:val="en-US" w:eastAsia="zh-CN"/>
        </w:rPr>
      </w:pPr>
      <w:r>
        <w:rPr>
          <w:rFonts w:hint="eastAsia" w:ascii="宋体" w:hAnsi="宋体"/>
          <w:bCs/>
          <w:sz w:val="24"/>
          <w:lang w:eastAsia="zh-CN"/>
        </w:rPr>
        <w:t>响应</w:t>
      </w:r>
      <w:r>
        <w:rPr>
          <w:rFonts w:hint="eastAsia" w:ascii="宋体" w:hAnsi="宋体"/>
          <w:bCs/>
          <w:sz w:val="24"/>
        </w:rPr>
        <w:t>报价得分=（评标基准价/</w:t>
      </w:r>
      <w:r>
        <w:rPr>
          <w:rFonts w:hint="eastAsia" w:ascii="宋体" w:hAnsi="宋体"/>
          <w:bCs/>
          <w:sz w:val="24"/>
          <w:lang w:eastAsia="zh-CN"/>
        </w:rPr>
        <w:t>响应</w:t>
      </w:r>
      <w:r>
        <w:rPr>
          <w:rFonts w:hint="eastAsia" w:ascii="宋体" w:hAnsi="宋体"/>
          <w:bCs/>
          <w:sz w:val="24"/>
        </w:rPr>
        <w:t>报价）*</w:t>
      </w:r>
      <w:r>
        <w:rPr>
          <w:rFonts w:hint="eastAsia" w:ascii="宋体" w:hAnsi="宋体"/>
          <w:bCs/>
          <w:sz w:val="24"/>
          <w:lang w:val="en-US" w:eastAsia="zh-CN"/>
        </w:rPr>
        <w:t>30</w:t>
      </w:r>
    </w:p>
    <w:p>
      <w:pPr>
        <w:spacing w:line="560" w:lineRule="exact"/>
        <w:ind w:right="-92" w:rightChars="-44" w:firstLine="482" w:firstLineChars="200"/>
        <w:rPr>
          <w:rFonts w:hint="eastAsia" w:ascii="宋体" w:hAnsi="宋体"/>
          <w:b/>
          <w:bCs/>
          <w:sz w:val="24"/>
          <w:lang w:val="en-US" w:eastAsia="zh-CN"/>
        </w:rPr>
      </w:pPr>
      <w:r>
        <w:rPr>
          <w:rFonts w:hint="eastAsia" w:ascii="宋体" w:hAnsi="宋体"/>
          <w:b/>
          <w:bCs/>
          <w:sz w:val="24"/>
          <w:lang w:val="en-US" w:eastAsia="zh-CN"/>
        </w:rPr>
        <w:t>二、技术得分（30分）</w:t>
      </w:r>
    </w:p>
    <w:p>
      <w:pPr>
        <w:pStyle w:val="2"/>
        <w:numPr>
          <w:ilvl w:val="0"/>
          <w:numId w:val="8"/>
        </w:numPr>
        <w:ind w:left="240" w:leftChars="0" w:firstLine="0" w:firstLineChars="0"/>
        <w:rPr>
          <w:rFonts w:hint="eastAsia" w:ascii="宋体" w:hAnsi="宋体"/>
          <w:bCs/>
          <w:sz w:val="24"/>
          <w:lang w:val="en-US" w:eastAsia="zh-CN"/>
        </w:rPr>
      </w:pPr>
      <w:r>
        <w:rPr>
          <w:rFonts w:hint="eastAsia" w:ascii="宋体" w:hAnsi="宋体"/>
          <w:bCs/>
          <w:sz w:val="24"/>
          <w:lang w:val="en-US" w:eastAsia="zh-CN"/>
        </w:rPr>
        <w:t>对项目的理解（10分），对项目理解全面、准确，认识深刻得5分，对项目理解较透彻，认识较深刻得3分，对项目理解一般，认识一般得1分，完全没有相关内容的，本评分项得0分。</w:t>
      </w:r>
    </w:p>
    <w:p>
      <w:pPr>
        <w:pStyle w:val="2"/>
        <w:numPr>
          <w:ilvl w:val="0"/>
          <w:numId w:val="8"/>
        </w:numPr>
        <w:ind w:left="240" w:leftChars="0" w:firstLine="0" w:firstLineChars="0"/>
        <w:rPr>
          <w:rFonts w:hint="eastAsia" w:ascii="宋体" w:hAnsi="宋体"/>
          <w:bCs/>
          <w:sz w:val="24"/>
          <w:lang w:val="en-US" w:eastAsia="zh-CN"/>
        </w:rPr>
      </w:pPr>
      <w:r>
        <w:rPr>
          <w:rFonts w:hint="eastAsia" w:ascii="宋体" w:hAnsi="宋体"/>
          <w:bCs/>
          <w:sz w:val="24"/>
          <w:lang w:val="en-US" w:eastAsia="zh-CN"/>
        </w:rPr>
        <w:t>工作内容（10分）对项目工作内容理解全面、系统、到位得5分，对主要内容理解较全面、较系统、较到位得3分，对主要内容理解不全面、不系统、不到位得1分，完全没有相关内容的，本评分项得0分。</w:t>
      </w:r>
    </w:p>
    <w:p>
      <w:pPr>
        <w:pStyle w:val="2"/>
        <w:numPr>
          <w:ilvl w:val="0"/>
          <w:numId w:val="8"/>
        </w:numPr>
        <w:ind w:left="240" w:leftChars="0" w:firstLine="0" w:firstLineChars="0"/>
        <w:rPr>
          <w:rFonts w:hint="eastAsia" w:ascii="宋体" w:hAnsi="宋体"/>
          <w:bCs/>
          <w:sz w:val="24"/>
          <w:lang w:val="en-US" w:eastAsia="zh-CN"/>
        </w:rPr>
      </w:pPr>
      <w:r>
        <w:rPr>
          <w:rFonts w:hint="eastAsia" w:ascii="宋体" w:hAnsi="宋体"/>
          <w:bCs/>
          <w:sz w:val="24"/>
          <w:lang w:val="en-US" w:eastAsia="zh-CN"/>
        </w:rPr>
        <w:t>工作进度计划安排（10分）根据投标人对项目的实施进度计划详细、合理程度在10-2分范围内进行打分，无相关内容的，本评分项得0分。</w:t>
      </w:r>
    </w:p>
    <w:p>
      <w:pPr>
        <w:pStyle w:val="2"/>
        <w:numPr>
          <w:ilvl w:val="0"/>
          <w:numId w:val="0"/>
        </w:numPr>
        <w:ind w:leftChars="200"/>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三、公司实力（40分）</w:t>
      </w:r>
    </w:p>
    <w:p>
      <w:pPr>
        <w:pStyle w:val="2"/>
        <w:numPr>
          <w:ilvl w:val="0"/>
          <w:numId w:val="9"/>
        </w:numPr>
        <w:tabs>
          <w:tab w:val="clear" w:pos="312"/>
        </w:tabs>
        <w:ind w:leftChars="200"/>
        <w:rPr>
          <w:rFonts w:hint="eastAsia" w:ascii="宋体" w:hAnsi="宋体"/>
          <w:bCs/>
          <w:sz w:val="24"/>
          <w:lang w:val="en-US" w:eastAsia="zh-CN"/>
        </w:rPr>
      </w:pPr>
      <w:r>
        <w:rPr>
          <w:rFonts w:hint="eastAsia" w:ascii="宋体" w:hAnsi="宋体"/>
          <w:bCs/>
          <w:sz w:val="24"/>
          <w:lang w:val="en-US" w:eastAsia="zh-CN"/>
        </w:rPr>
        <w:t>公司资质（5分）具有工程咨询单位甲级资质得5分，具有工程咨询单位乙级资质得3分，具有工程咨询单位乙级资质得1分。</w:t>
      </w:r>
    </w:p>
    <w:p>
      <w:pPr>
        <w:pStyle w:val="2"/>
        <w:numPr>
          <w:ilvl w:val="0"/>
          <w:numId w:val="9"/>
        </w:numPr>
        <w:tabs>
          <w:tab w:val="clear" w:pos="312"/>
        </w:tabs>
        <w:ind w:leftChars="200"/>
        <w:rPr>
          <w:rFonts w:hint="eastAsia" w:ascii="宋体" w:hAnsi="宋体"/>
          <w:bCs/>
          <w:sz w:val="24"/>
          <w:highlight w:val="none"/>
          <w:lang w:val="en-US" w:eastAsia="zh-CN"/>
        </w:rPr>
      </w:pPr>
      <w:r>
        <w:rPr>
          <w:rFonts w:hint="eastAsia" w:ascii="宋体" w:hAnsi="宋体"/>
          <w:bCs/>
          <w:sz w:val="24"/>
          <w:highlight w:val="none"/>
          <w:lang w:val="en-US" w:eastAsia="zh-CN"/>
        </w:rPr>
        <w:t>单位组织机构（5分）有本地相关业绩5分，无本地相关业绩3分。</w:t>
      </w:r>
    </w:p>
    <w:p>
      <w:pPr>
        <w:pStyle w:val="2"/>
        <w:numPr>
          <w:ilvl w:val="0"/>
          <w:numId w:val="9"/>
        </w:numPr>
        <w:tabs>
          <w:tab w:val="clear" w:pos="312"/>
        </w:tabs>
        <w:ind w:leftChars="200"/>
        <w:rPr>
          <w:rFonts w:hint="eastAsia" w:ascii="宋体" w:hAnsi="宋体"/>
          <w:bCs/>
          <w:sz w:val="24"/>
          <w:lang w:val="en-US" w:eastAsia="zh-CN"/>
        </w:rPr>
      </w:pPr>
      <w:r>
        <w:rPr>
          <w:rFonts w:hint="eastAsia" w:ascii="宋体" w:hAnsi="宋体"/>
          <w:bCs/>
          <w:sz w:val="24"/>
          <w:lang w:val="en-US" w:eastAsia="zh-CN"/>
        </w:rPr>
        <w:t>企业业绩（15分），三年内承担过类似项目每提供一项得5分，满分15分（需附合同或中标通知书）</w:t>
      </w:r>
    </w:p>
    <w:p>
      <w:pPr>
        <w:pStyle w:val="2"/>
        <w:numPr>
          <w:ilvl w:val="0"/>
          <w:numId w:val="9"/>
        </w:numPr>
        <w:tabs>
          <w:tab w:val="clear" w:pos="312"/>
        </w:tabs>
        <w:ind w:leftChars="200"/>
        <w:rPr>
          <w:rFonts w:hint="eastAsia" w:ascii="宋体" w:hAnsi="宋体"/>
          <w:bCs/>
          <w:color w:val="auto"/>
          <w:sz w:val="24"/>
          <w:lang w:val="en-US" w:eastAsia="zh-CN"/>
        </w:rPr>
      </w:pPr>
      <w:r>
        <w:rPr>
          <w:rFonts w:hint="eastAsia" w:ascii="宋体" w:hAnsi="宋体"/>
          <w:bCs/>
          <w:color w:val="auto"/>
          <w:sz w:val="24"/>
          <w:lang w:val="en-US" w:eastAsia="zh-CN"/>
        </w:rPr>
        <w:t>项目组织机构设置（5分），项目组织管理制度齐全，措施完善，人数为8人以上的为满分5分，5-8人得3分，5人以下得1分</w:t>
      </w:r>
    </w:p>
    <w:p>
      <w:pPr>
        <w:pStyle w:val="2"/>
        <w:numPr>
          <w:ilvl w:val="0"/>
          <w:numId w:val="9"/>
        </w:numPr>
        <w:tabs>
          <w:tab w:val="clear" w:pos="312"/>
        </w:tabs>
        <w:ind w:leftChars="200"/>
        <w:rPr>
          <w:rFonts w:hint="eastAsia" w:ascii="宋体" w:hAnsi="宋体"/>
          <w:bCs/>
          <w:color w:val="auto"/>
          <w:sz w:val="24"/>
          <w:lang w:val="en-US" w:eastAsia="zh-CN"/>
        </w:rPr>
      </w:pPr>
      <w:r>
        <w:rPr>
          <w:rFonts w:hint="eastAsia" w:ascii="宋体" w:hAnsi="宋体"/>
          <w:bCs/>
          <w:color w:val="auto"/>
          <w:sz w:val="24"/>
          <w:lang w:val="en-US" w:eastAsia="zh-CN"/>
        </w:rPr>
        <w:t>项目组织人员资质（10分），具有高级工程师（副高）资格的，每个得1分，具有教授级高级工程师（正高）的，每个得1.5分，最多得5分。拟投入本项目人员参与完成过至少一项类似项目业绩得1.5分，最多得5分。</w:t>
      </w:r>
    </w:p>
    <w:p>
      <w:pPr>
        <w:spacing w:line="560" w:lineRule="exact"/>
        <w:ind w:right="-92" w:rightChars="-44" w:firstLine="482" w:firstLineChars="2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五</w:t>
      </w:r>
      <w:r>
        <w:rPr>
          <w:rFonts w:hint="eastAsia" w:ascii="宋体" w:hAnsi="宋体"/>
          <w:b/>
          <w:color w:val="000000" w:themeColor="text1"/>
          <w:sz w:val="24"/>
          <w14:textFill>
            <w14:solidFill>
              <w14:schemeClr w14:val="tx1"/>
            </w14:solidFill>
          </w14:textFill>
        </w:rPr>
        <w:t>、得分</w:t>
      </w:r>
    </w:p>
    <w:p>
      <w:pPr>
        <w:spacing w:line="560" w:lineRule="exact"/>
        <w:ind w:right="-92" w:rightChars="-44" w:firstLine="600" w:firstLineChars="2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响应</w:t>
      </w:r>
      <w:r>
        <w:rPr>
          <w:rFonts w:hint="eastAsia" w:ascii="宋体" w:hAnsi="宋体"/>
          <w:color w:val="000000" w:themeColor="text1"/>
          <w:sz w:val="24"/>
          <w14:textFill>
            <w14:solidFill>
              <w14:schemeClr w14:val="tx1"/>
            </w14:solidFill>
          </w14:textFill>
        </w:rPr>
        <w:t>单位最终得分：评标委员会所有成员评定分数的算术平均值，作为</w:t>
      </w:r>
      <w:r>
        <w:rPr>
          <w:rFonts w:hint="eastAsia" w:ascii="宋体" w:hAnsi="宋体"/>
          <w:color w:val="000000" w:themeColor="text1"/>
          <w:sz w:val="24"/>
          <w:lang w:eastAsia="zh-CN"/>
          <w14:textFill>
            <w14:solidFill>
              <w14:schemeClr w14:val="tx1"/>
            </w14:solidFill>
          </w14:textFill>
        </w:rPr>
        <w:t>响应</w:t>
      </w:r>
      <w:r>
        <w:rPr>
          <w:rFonts w:hint="eastAsia" w:ascii="宋体" w:hAnsi="宋体"/>
          <w:color w:val="000000" w:themeColor="text1"/>
          <w:sz w:val="24"/>
          <w14:textFill>
            <w14:solidFill>
              <w14:schemeClr w14:val="tx1"/>
            </w14:solidFill>
          </w14:textFill>
        </w:rPr>
        <w:t>单位的最终得分。</w:t>
      </w:r>
    </w:p>
    <w:p>
      <w:pPr>
        <w:spacing w:line="560" w:lineRule="exact"/>
        <w:ind w:right="-92" w:rightChars="-44" w:firstLine="600" w:firstLineChars="2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2、计算结果保留</w:t>
      </w:r>
      <w:r>
        <w:rPr>
          <w:rFonts w:hint="eastAsia" w:ascii="宋体" w:hAnsi="宋体"/>
          <w:color w:val="000000" w:themeColor="text1"/>
          <w:sz w:val="24"/>
          <w:lang w:eastAsia="zh-CN"/>
          <w14:textFill>
            <w14:solidFill>
              <w14:schemeClr w14:val="tx1"/>
            </w14:solidFill>
          </w14:textFill>
        </w:rPr>
        <w:t>整数</w:t>
      </w:r>
      <w:r>
        <w:rPr>
          <w:rFonts w:hint="eastAsia" w:ascii="宋体" w:hAnsi="宋体"/>
          <w:color w:val="000000" w:themeColor="text1"/>
          <w:sz w:val="24"/>
          <w14:textFill>
            <w14:solidFill>
              <w14:schemeClr w14:val="tx1"/>
            </w14:solidFill>
          </w14:textFill>
        </w:rPr>
        <w:t>，按四舍五入计入。</w:t>
      </w: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序号</w:t>
            </w:r>
          </w:p>
        </w:tc>
        <w:tc>
          <w:tcPr>
            <w:tcW w:w="3685"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内容</w:t>
            </w:r>
          </w:p>
        </w:tc>
        <w:tc>
          <w:tcPr>
            <w:tcW w:w="5587"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noWrap w:val="0"/>
            <w:vAlign w:val="center"/>
          </w:tcPr>
          <w:p>
            <w:pPr>
              <w:jc w:val="center"/>
              <w:rPr>
                <w:rFonts w:ascii="仿宋" w:hAnsi="仿宋" w:eastAsia="仿宋"/>
                <w:b/>
                <w:sz w:val="22"/>
                <w:szCs w:val="21"/>
              </w:rPr>
            </w:pP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目录</w:t>
            </w:r>
          </w:p>
        </w:tc>
        <w:tc>
          <w:tcPr>
            <w:tcW w:w="5587" w:type="dxa"/>
            <w:noWrap w:val="0"/>
            <w:vAlign w:val="center"/>
          </w:tcPr>
          <w:p>
            <w:pPr>
              <w:jc w:val="left"/>
              <w:rPr>
                <w:rFonts w:ascii="仿宋" w:hAnsi="仿宋" w:eastAsia="仿宋"/>
                <w:b/>
                <w:sz w:val="22"/>
                <w:szCs w:val="21"/>
              </w:rPr>
            </w:pPr>
            <w:r>
              <w:rPr>
                <w:rFonts w:hint="eastAsia" w:ascii="仿宋" w:hAnsi="仿宋" w:eastAsia="仿宋"/>
                <w:b/>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1</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报价表</w:t>
            </w:r>
          </w:p>
        </w:tc>
        <w:tc>
          <w:tcPr>
            <w:tcW w:w="5587" w:type="dxa"/>
            <w:noWrap w:val="0"/>
            <w:vAlign w:val="center"/>
          </w:tcPr>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2</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w:t>
            </w:r>
            <w:r>
              <w:rPr>
                <w:rFonts w:hint="eastAsia" w:ascii="仿宋" w:hAnsi="仿宋" w:eastAsia="仿宋"/>
                <w:b/>
                <w:sz w:val="22"/>
                <w:szCs w:val="21"/>
              </w:rPr>
              <w:t>响应函</w:t>
            </w:r>
          </w:p>
        </w:tc>
        <w:tc>
          <w:tcPr>
            <w:tcW w:w="5587" w:type="dxa"/>
            <w:noWrap w:val="0"/>
            <w:vAlign w:val="center"/>
          </w:tcPr>
          <w:p>
            <w:pPr>
              <w:jc w:val="left"/>
              <w:rPr>
                <w:rFonts w:hint="eastAsia" w:ascii="仿宋" w:hAnsi="仿宋" w:eastAsia="仿宋"/>
                <w:b/>
                <w:sz w:val="22"/>
                <w:szCs w:val="21"/>
                <w:lang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3</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法人授权委托书</w:t>
            </w:r>
            <w:r>
              <w:rPr>
                <w:rFonts w:hint="eastAsia" w:ascii="仿宋" w:hAnsi="仿宋" w:eastAsia="仿宋" w:cs="宋体"/>
                <w:b/>
                <w:bCs/>
                <w:kern w:val="0"/>
                <w:sz w:val="22"/>
                <w:szCs w:val="21"/>
              </w:rPr>
              <w:t>/法人身份证明文件</w:t>
            </w:r>
          </w:p>
        </w:tc>
        <w:tc>
          <w:tcPr>
            <w:tcW w:w="5587" w:type="dxa"/>
            <w:noWrap w:val="0"/>
            <w:vAlign w:val="center"/>
          </w:tcPr>
          <w:p>
            <w:pPr>
              <w:jc w:val="left"/>
              <w:rPr>
                <w:rFonts w:hint="eastAsia" w:ascii="仿宋" w:hAnsi="仿宋" w:eastAsia="仿宋" w:cs="宋体"/>
                <w:b/>
                <w:bCs/>
                <w:kern w:val="0"/>
                <w:sz w:val="22"/>
                <w:szCs w:val="21"/>
                <w:lang w:eastAsia="zh-CN"/>
              </w:rPr>
            </w:pPr>
            <w:r>
              <w:rPr>
                <w:rFonts w:hint="eastAsia" w:ascii="仿宋" w:hAnsi="仿宋" w:eastAsia="仿宋"/>
                <w:b/>
                <w:sz w:val="22"/>
                <w:szCs w:val="21"/>
              </w:rPr>
              <w:t>法人授权委托书</w:t>
            </w:r>
            <w:r>
              <w:rPr>
                <w:rFonts w:hint="eastAsia" w:ascii="仿宋" w:hAnsi="仿宋" w:eastAsia="仿宋" w:cs="宋体"/>
                <w:b/>
                <w:bCs/>
                <w:kern w:val="0"/>
                <w:sz w:val="22"/>
                <w:szCs w:val="21"/>
              </w:rPr>
              <w:t>格式见附件</w:t>
            </w:r>
            <w:r>
              <w:rPr>
                <w:rFonts w:hint="eastAsia" w:ascii="仿宋" w:hAnsi="仿宋" w:eastAsia="仿宋" w:cs="宋体"/>
                <w:b/>
                <w:bCs/>
                <w:kern w:val="0"/>
                <w:sz w:val="22"/>
                <w:szCs w:val="21"/>
                <w:lang w:val="en-US" w:eastAsia="zh-CN"/>
              </w:rPr>
              <w:t>3</w:t>
            </w:r>
          </w:p>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4</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反商业贿赂承诺书</w:t>
            </w:r>
          </w:p>
        </w:tc>
        <w:tc>
          <w:tcPr>
            <w:tcW w:w="5587" w:type="dxa"/>
            <w:noWrap w:val="0"/>
            <w:vAlign w:val="center"/>
          </w:tcPr>
          <w:p>
            <w:pPr>
              <w:jc w:val="left"/>
              <w:rPr>
                <w:rFonts w:hint="eastAsia" w:ascii="仿宋" w:hAnsi="仿宋" w:eastAsia="仿宋"/>
                <w:b/>
                <w:sz w:val="22"/>
                <w:szCs w:val="21"/>
                <w:lang w:val="en-US"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eastAsia="zh-CN"/>
              </w:rPr>
            </w:pPr>
            <w:r>
              <w:rPr>
                <w:rFonts w:hint="eastAsia" w:ascii="仿宋" w:hAnsi="仿宋" w:eastAsia="仿宋"/>
                <w:b/>
                <w:sz w:val="22"/>
                <w:szCs w:val="18"/>
                <w:lang w:val="en-US" w:eastAsia="zh-CN"/>
              </w:rPr>
              <w:t>5</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公司资质信息</w:t>
            </w:r>
          </w:p>
        </w:tc>
        <w:tc>
          <w:tcPr>
            <w:tcW w:w="5587" w:type="dxa"/>
            <w:tcBorders>
              <w:top w:val="single" w:color="auto" w:sz="4" w:space="0"/>
              <w:bottom w:val="single" w:color="auto" w:sz="4" w:space="0"/>
            </w:tcBorders>
            <w:noWrap w:val="0"/>
            <w:vAlign w:val="center"/>
          </w:tcPr>
          <w:p>
            <w:pPr>
              <w:jc w:val="cente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营业执照、人员资质等相关信息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sz w:val="22"/>
                <w:szCs w:val="18"/>
                <w:lang w:val="en-US" w:eastAsia="zh-CN"/>
              </w:rPr>
            </w:pPr>
            <w:r>
              <w:rPr>
                <w:rFonts w:hint="eastAsia" w:ascii="仿宋" w:hAnsi="仿宋" w:eastAsia="仿宋"/>
                <w:b/>
                <w:sz w:val="22"/>
                <w:szCs w:val="18"/>
                <w:lang w:val="en-US" w:eastAsia="zh-CN"/>
              </w:rPr>
              <w:t>6</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服务方案</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包含对本项目的理解以及工作进度计划与安排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7</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rPr>
              <w:t>近期与其他单位签订的购销合同、发票、中标通知书。</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需提供合同或中标通知书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8</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响应人</w:t>
            </w:r>
            <w:r>
              <w:rPr>
                <w:rFonts w:hint="eastAsia" w:ascii="仿宋" w:hAnsi="仿宋" w:eastAsia="仿宋"/>
                <w:b/>
                <w:sz w:val="22"/>
                <w:szCs w:val="21"/>
              </w:rPr>
              <w:t>认为应递交的其它材料</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304219257"/>
      <w:bookmarkStart w:id="5" w:name="_Toc248896063"/>
      <w:bookmarkStart w:id="6" w:name="_Toc15313"/>
      <w:bookmarkStart w:id="7" w:name="_Toc17030"/>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5754C9"/>
    <w:multiLevelType w:val="singleLevel"/>
    <w:tmpl w:val="8A5754C9"/>
    <w:lvl w:ilvl="0" w:tentative="0">
      <w:start w:val="1"/>
      <w:numFmt w:val="decimal"/>
      <w:lvlText w:val="%1."/>
      <w:lvlJc w:val="left"/>
      <w:pPr>
        <w:tabs>
          <w:tab w:val="left" w:pos="312"/>
        </w:tabs>
        <w:ind w:left="240" w:leftChars="0" w:firstLine="0" w:firstLineChars="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AD0B94F"/>
    <w:multiLevelType w:val="singleLevel"/>
    <w:tmpl w:val="3AD0B94F"/>
    <w:lvl w:ilvl="0" w:tentative="0">
      <w:start w:val="1"/>
      <w:numFmt w:val="decimal"/>
      <w:lvlText w:val="%1."/>
      <w:lvlJc w:val="left"/>
      <w:pPr>
        <w:tabs>
          <w:tab w:val="left" w:pos="312"/>
        </w:tabs>
      </w:p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3"/>
  </w:num>
  <w:num w:numId="4">
    <w:abstractNumId w:val="2"/>
  </w:num>
  <w:num w:numId="5">
    <w:abstractNumId w:val="7"/>
  </w:num>
  <w:num w:numId="6">
    <w:abstractNumId w:val="1"/>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353EA7"/>
    <w:rsid w:val="03C05FE9"/>
    <w:rsid w:val="06AB0CBE"/>
    <w:rsid w:val="07115D57"/>
    <w:rsid w:val="08492771"/>
    <w:rsid w:val="08B25A56"/>
    <w:rsid w:val="091E4C98"/>
    <w:rsid w:val="09984B6B"/>
    <w:rsid w:val="0B9D1095"/>
    <w:rsid w:val="0CE95F36"/>
    <w:rsid w:val="0CFB4C25"/>
    <w:rsid w:val="0E9016D0"/>
    <w:rsid w:val="0E93621F"/>
    <w:rsid w:val="111B0067"/>
    <w:rsid w:val="114C35D9"/>
    <w:rsid w:val="11C31BE9"/>
    <w:rsid w:val="12A11F66"/>
    <w:rsid w:val="14682D8B"/>
    <w:rsid w:val="14D4656C"/>
    <w:rsid w:val="16A35C46"/>
    <w:rsid w:val="17D81E85"/>
    <w:rsid w:val="188744A6"/>
    <w:rsid w:val="1965314B"/>
    <w:rsid w:val="1C900C49"/>
    <w:rsid w:val="1D995826"/>
    <w:rsid w:val="1E4C6245"/>
    <w:rsid w:val="1E8F532B"/>
    <w:rsid w:val="245F44FD"/>
    <w:rsid w:val="246624B2"/>
    <w:rsid w:val="24DF7354"/>
    <w:rsid w:val="24FE3AD7"/>
    <w:rsid w:val="25405898"/>
    <w:rsid w:val="25E13CF1"/>
    <w:rsid w:val="2643733F"/>
    <w:rsid w:val="264A511E"/>
    <w:rsid w:val="278100C0"/>
    <w:rsid w:val="288B4898"/>
    <w:rsid w:val="2A7E0BB7"/>
    <w:rsid w:val="2B0A7B44"/>
    <w:rsid w:val="2F632DBF"/>
    <w:rsid w:val="30217C48"/>
    <w:rsid w:val="31827FC3"/>
    <w:rsid w:val="33F956F6"/>
    <w:rsid w:val="36951F21"/>
    <w:rsid w:val="384A7AD5"/>
    <w:rsid w:val="3B132AD9"/>
    <w:rsid w:val="3B2A4846"/>
    <w:rsid w:val="3B5373B6"/>
    <w:rsid w:val="3EDC78BB"/>
    <w:rsid w:val="44B67130"/>
    <w:rsid w:val="44D5542C"/>
    <w:rsid w:val="4656733B"/>
    <w:rsid w:val="486D7AF7"/>
    <w:rsid w:val="494804BB"/>
    <w:rsid w:val="4B4638AD"/>
    <w:rsid w:val="4B9C1C97"/>
    <w:rsid w:val="4BC500AA"/>
    <w:rsid w:val="4C6C1786"/>
    <w:rsid w:val="4FCE5CD6"/>
    <w:rsid w:val="53501B3C"/>
    <w:rsid w:val="53F32B2D"/>
    <w:rsid w:val="550B217C"/>
    <w:rsid w:val="562E3236"/>
    <w:rsid w:val="563E288F"/>
    <w:rsid w:val="57162389"/>
    <w:rsid w:val="57575861"/>
    <w:rsid w:val="5AD50E25"/>
    <w:rsid w:val="5BAC6C71"/>
    <w:rsid w:val="5D4D3632"/>
    <w:rsid w:val="615523A0"/>
    <w:rsid w:val="649D2897"/>
    <w:rsid w:val="64E26821"/>
    <w:rsid w:val="65207F71"/>
    <w:rsid w:val="66016CC0"/>
    <w:rsid w:val="67BB5E4F"/>
    <w:rsid w:val="695C7637"/>
    <w:rsid w:val="6A67750E"/>
    <w:rsid w:val="6CD8518D"/>
    <w:rsid w:val="6ECA7999"/>
    <w:rsid w:val="6F8E4227"/>
    <w:rsid w:val="72AF016F"/>
    <w:rsid w:val="738608DB"/>
    <w:rsid w:val="745F5922"/>
    <w:rsid w:val="78481C82"/>
    <w:rsid w:val="78BC0632"/>
    <w:rsid w:val="78BE0AF1"/>
    <w:rsid w:val="792701E6"/>
    <w:rsid w:val="798E357B"/>
    <w:rsid w:val="7A16624F"/>
    <w:rsid w:val="7AFC68A2"/>
    <w:rsid w:val="7BC97F92"/>
    <w:rsid w:val="7C893728"/>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2</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2020-03-09T09:54:00Z</cp:lastPrinted>
  <dcterms:modified xsi:type="dcterms:W3CDTF">2020-10-29T08:17:29Z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