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污水处理站的运营托管项目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2020年6月30日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val="en-US" w:eastAsia="zh-CN"/>
        </w:rPr>
        <w:t>新郑市公立人民医院污水处理站的运营托管项目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污水处理站的运营托管项目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spacing w:line="560" w:lineRule="exact"/>
        <w:ind w:firstLine="1280" w:firstLineChars="4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新郑市公立人民医院院区污水站的日常运营管理，主要包括污水站配置运营人员，设备的维修和保养，污水化验、污泥处理。提供污水处理站所需药剂，保障污水处理站的正常稳定运行，保证污水达标排放。如因检查中所发现环保问题或运营管理不到位等问题所产生的罚款费用及负面影响由中标单位承担相关费用，运营期间产生的一切费用由中标单位承担。 </w:t>
      </w:r>
    </w:p>
    <w:p>
      <w:pPr>
        <w:numPr>
          <w:ilvl w:val="0"/>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我院的污水处理站的设计污水处理能力为600吨/天，目前日常的污水量200吨/天左右。所用的药剂为复合单过硫酸氢钾消毒粉。</w:t>
      </w:r>
    </w:p>
    <w:p>
      <w:pPr>
        <w:pStyle w:val="2"/>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如有需要，可来我院进行现场勘测。</w:t>
      </w:r>
    </w:p>
    <w:p>
      <w:pPr>
        <w:pStyle w:val="2"/>
        <w:ind w:firstLine="640"/>
        <w:rPr>
          <w:rFonts w:hint="eastAsia" w:ascii="仿宋_GB2312" w:eastAsia="仿宋_GB2312"/>
          <w:sz w:val="32"/>
          <w:szCs w:val="32"/>
          <w:lang w:val="en-US" w:eastAsia="zh-CN"/>
        </w:rPr>
      </w:pPr>
      <w:r>
        <w:rPr>
          <w:rFonts w:hint="eastAsia" w:ascii="仿宋_GB2312" w:eastAsia="仿宋_GB2312"/>
          <w:b/>
          <w:bCs/>
          <w:sz w:val="32"/>
          <w:szCs w:val="32"/>
          <w:lang w:val="en-US" w:eastAsia="zh-CN"/>
        </w:rPr>
        <w:t>服务期限</w:t>
      </w:r>
      <w:r>
        <w:rPr>
          <w:rFonts w:hint="eastAsia" w:ascii="仿宋_GB2312" w:eastAsia="仿宋_GB2312"/>
          <w:sz w:val="32"/>
          <w:szCs w:val="32"/>
          <w:lang w:val="en-US" w:eastAsia="zh-CN"/>
        </w:rPr>
        <w:t>：一年</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rPr>
        <w:t>。</w:t>
      </w:r>
    </w:p>
    <w:p>
      <w:pPr>
        <w:spacing w:line="560" w:lineRule="exact"/>
        <w:ind w:firstLine="640" w:firstLineChars="200"/>
        <w:rPr>
          <w:rFonts w:hint="eastAsia" w:ascii="仿宋_GB2312" w:eastAsia="仿宋_GB2312"/>
          <w:color w:val="FF0000"/>
          <w:sz w:val="32"/>
          <w:szCs w:val="32"/>
          <w:lang w:val="en-US" w:eastAsia="zh-CN"/>
        </w:rPr>
      </w:pPr>
      <w:r>
        <w:rPr>
          <w:rFonts w:hint="eastAsia" w:ascii="仿宋_GB2312" w:eastAsia="仿宋_GB2312"/>
          <w:sz w:val="32"/>
          <w:szCs w:val="32"/>
          <w:lang w:val="en-US" w:eastAsia="zh-CN"/>
        </w:rPr>
        <w:t>3、</w:t>
      </w:r>
      <w:r>
        <w:rPr>
          <w:rFonts w:hint="eastAsia" w:ascii="仿宋_GB2312" w:eastAsia="仿宋_GB2312"/>
          <w:color w:val="FF0000"/>
          <w:sz w:val="32"/>
          <w:szCs w:val="32"/>
          <w:lang w:val="en-US" w:eastAsia="zh-CN"/>
        </w:rPr>
        <w:t>具有环保工程专业承包资质及有效期内的安全生产许可证；具备履行合同必需的专业技术能力及维保修缮能力，保证医院污水处理设施及设备正常稳定运行；污水处理运营人员具有相关环境污染治理设施运行人员考试合格证书2个或以上（含2个）。</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color w:val="FF0000"/>
          <w:sz w:val="32"/>
          <w:szCs w:val="32"/>
          <w:lang w:val="en-US" w:eastAsia="zh-CN"/>
        </w:rPr>
        <w:t>具有医院污水处理同类项目管理业绩及经验。</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bookmarkStart w:id="15" w:name="_GoBack"/>
      <w:bookmarkEnd w:id="15"/>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、环保工程专业承包资质、安全生产许可证、环境污染治理设施运行人员考试合格证书。</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rPr>
          <w:rFonts w:hint="eastAsia"/>
          <w:lang w:eastAsia="zh-CN"/>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响应文件应加贴封条，进行密封。</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p>
      <w:pPr>
        <w:spacing w:line="500" w:lineRule="exact"/>
        <w:ind w:firstLine="482" w:firstLineChars="200"/>
        <w:jc w:val="left"/>
        <w:rPr>
          <w:rFonts w:hint="eastAsia" w:ascii="宋体" w:hAnsi="宋体" w:eastAsia="黑体"/>
          <w:b/>
          <w:bCs/>
          <w:sz w:val="24"/>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运营管理方案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restart"/>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p>
            <w:pPr>
              <w:spacing w:before="120" w:after="120" w:line="360" w:lineRule="auto"/>
              <w:jc w:val="center"/>
              <w:rPr>
                <w:rFonts w:hint="eastAsia" w:ascii="宋体" w:hAnsi="宋体" w:cs="宋体"/>
                <w:color w:val="000000" w:themeColor="text1"/>
                <w:szCs w:val="21"/>
                <w14:textFill>
                  <w14:solidFill>
                    <w14:schemeClr w14:val="tx1"/>
                  </w14:solidFill>
                </w14:textFill>
              </w:rPr>
            </w:pPr>
          </w:p>
          <w:p>
            <w:pPr>
              <w:spacing w:before="120" w:after="120" w:line="360" w:lineRule="auto"/>
              <w:jc w:val="center"/>
              <w:rPr>
                <w:rFonts w:hint="eastAsia" w:ascii="宋体" w:hAnsi="宋体" w:cs="宋体"/>
                <w:color w:val="000000" w:themeColor="text1"/>
                <w:szCs w:val="21"/>
                <w14:textFill>
                  <w14:solidFill>
                    <w14:schemeClr w14:val="tx1"/>
                  </w14:solidFill>
                </w14:textFill>
              </w:rPr>
            </w:pPr>
          </w:p>
          <w:p>
            <w:pPr>
              <w:spacing w:before="120" w:after="120" w:line="360" w:lineRule="auto"/>
              <w:jc w:val="center"/>
              <w:rPr>
                <w:rFonts w:hint="eastAsia" w:ascii="宋体" w:hAnsi="宋体" w:cs="宋体"/>
                <w:color w:val="000000" w:themeColor="text1"/>
                <w:szCs w:val="21"/>
                <w14:textFill>
                  <w14:solidFill>
                    <w14:schemeClr w14:val="tx1"/>
                  </w14:solidFill>
                </w14:textFill>
              </w:rPr>
            </w:pPr>
          </w:p>
          <w:p>
            <w:pPr>
              <w:spacing w:before="120" w:after="120" w:line="360" w:lineRule="auto"/>
              <w:jc w:val="center"/>
              <w:rPr>
                <w:rFonts w:hint="eastAsia" w:ascii="宋体" w:hAnsi="宋体" w:cs="宋体"/>
                <w:color w:val="000000" w:themeColor="text1"/>
                <w:szCs w:val="21"/>
                <w14:textFill>
                  <w14:solidFill>
                    <w14:schemeClr w14:val="tx1"/>
                  </w14:solidFill>
                </w14:textFill>
              </w:rPr>
            </w:pPr>
          </w:p>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hint="eastAsia" w:ascii="宋体" w:hAnsi="宋体" w:cs="宋体"/>
                <w:color w:val="000000" w:themeColor="text1"/>
                <w:szCs w:val="21"/>
                <w:lang w:eastAsia="zh-CN"/>
                <w14:textFill>
                  <w14:solidFill>
                    <w14:schemeClr w14:val="tx1"/>
                  </w14:solidFill>
                </w14:textFill>
              </w:rPr>
            </w:pPr>
          </w:p>
          <w:p>
            <w:pPr>
              <w:spacing w:before="120" w:after="120" w:line="360" w:lineRule="auto"/>
              <w:rPr>
                <w:rFonts w:hint="eastAsia" w:ascii="宋体" w:hAnsi="宋体" w:cs="宋体"/>
                <w:color w:val="000000" w:themeColor="text1"/>
                <w:szCs w:val="21"/>
                <w:lang w:eastAsia="zh-CN"/>
                <w14:textFill>
                  <w14:solidFill>
                    <w14:schemeClr w14:val="tx1"/>
                  </w14:solidFill>
                </w14:textFill>
              </w:rPr>
            </w:pPr>
          </w:p>
          <w:p>
            <w:pPr>
              <w:spacing w:before="120" w:after="120" w:line="360" w:lineRule="auto"/>
              <w:rPr>
                <w:rFonts w:hint="eastAsia" w:ascii="宋体" w:hAnsi="宋体" w:cs="宋体"/>
                <w:color w:val="000000" w:themeColor="text1"/>
                <w:szCs w:val="21"/>
                <w:lang w:eastAsia="zh-CN"/>
                <w14:textFill>
                  <w14:solidFill>
                    <w14:schemeClr w14:val="tx1"/>
                  </w14:solidFill>
                </w14:textFill>
              </w:rPr>
            </w:pPr>
          </w:p>
          <w:p>
            <w:pPr>
              <w:spacing w:before="120" w:after="120" w:line="360" w:lineRule="auto"/>
              <w:rPr>
                <w:rFonts w:hint="eastAsia" w:ascii="宋体" w:hAnsi="宋体" w:cs="宋体"/>
                <w:color w:val="000000" w:themeColor="text1"/>
                <w:szCs w:val="21"/>
                <w:lang w:eastAsia="zh-CN"/>
                <w14:textFill>
                  <w14:solidFill>
                    <w14:schemeClr w14:val="tx1"/>
                  </w14:solidFill>
                </w14:textFill>
              </w:rPr>
            </w:pPr>
          </w:p>
          <w:p>
            <w:pPr>
              <w:spacing w:before="120" w:after="120" w:line="360" w:lineRule="auto"/>
              <w:rPr>
                <w:rFonts w:hint="eastAsia" w:ascii="宋体" w:hAnsi="宋体" w:cs="宋体"/>
                <w:color w:val="000000" w:themeColor="text1"/>
                <w:szCs w:val="21"/>
                <w:lang w:eastAsia="zh-CN"/>
                <w14:textFill>
                  <w14:solidFill>
                    <w14:schemeClr w14:val="tx1"/>
                  </w14:solidFill>
                </w14:textFill>
              </w:rPr>
            </w:pP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运营管理方案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1.管理目标明确（5分），明确安全管理目标1分，明确项目管理目标1分，明确水质控制目标3分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2.组织体系（4分）明确组织机构设置及人员1分，明确主要岗位职责及各污水处理站人员配置1分，明确保障设施正常运营配置的措施。包括工艺、设备、必要的器材等1分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3.实施计划（6分），投标人通过对项目的实际考察，准确提出项目中存在的相关问题及解决措施和整改计划3分，运行方案包含基本情况、设备保养计划、污泥处置方式、工艺控制促使等内容3分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应急预案（5分）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档案管理（5分）明确档案管理办法，包含档案、记录、资料等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合同终止后移交方案（5分）明确运营期满后的资料、档案、设备的移交方案及人员安排。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1.在人员、资金等方面具有相应较强的供应能力的得5分,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序号</w:t>
            </w:r>
          </w:p>
        </w:tc>
        <w:tc>
          <w:tcPr>
            <w:tcW w:w="3685"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内容</w:t>
            </w:r>
          </w:p>
        </w:tc>
        <w:tc>
          <w:tcPr>
            <w:tcW w:w="5587"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sz w:val="22"/>
                <w:szCs w:val="21"/>
              </w:rPr>
            </w:pP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目录</w:t>
            </w:r>
          </w:p>
        </w:tc>
        <w:tc>
          <w:tcPr>
            <w:tcW w:w="5587" w:type="dxa"/>
            <w:noWrap w:val="0"/>
            <w:vAlign w:val="center"/>
          </w:tcPr>
          <w:p>
            <w:pPr>
              <w:jc w:val="left"/>
              <w:rPr>
                <w:rFonts w:ascii="仿宋" w:hAnsi="仿宋" w:eastAsia="仿宋"/>
                <w:b/>
                <w:sz w:val="22"/>
                <w:szCs w:val="21"/>
              </w:rPr>
            </w:pPr>
            <w:r>
              <w:rPr>
                <w:rFonts w:hint="eastAsia" w:ascii="仿宋" w:hAnsi="仿宋" w:eastAsia="仿宋"/>
                <w:b/>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1</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报价表</w:t>
            </w:r>
          </w:p>
        </w:tc>
        <w:tc>
          <w:tcPr>
            <w:tcW w:w="5587" w:type="dxa"/>
            <w:noWrap w:val="0"/>
            <w:vAlign w:val="center"/>
          </w:tcPr>
          <w:p>
            <w:pPr>
              <w:jc w:val="left"/>
              <w:rPr>
                <w:rFonts w:hint="eastAsia" w:ascii="仿宋" w:hAnsi="仿宋" w:eastAsia="仿宋"/>
                <w:b/>
                <w:sz w:val="22"/>
                <w:szCs w:val="21"/>
                <w:lang w:eastAsia="zh-CN"/>
              </w:rPr>
            </w:pPr>
            <w:r>
              <w:rPr>
                <w:rFonts w:hint="eastAsia" w:ascii="仿宋" w:hAnsi="仿宋" w:eastAsia="仿宋"/>
                <w:b/>
                <w:color w:val="FF0000"/>
                <w:sz w:val="22"/>
                <w:szCs w:val="21"/>
                <w:lang w:eastAsia="zh-CN"/>
              </w:rPr>
              <w:t>须进行明细报价（包含运营费及材料费）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2</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w:t>
            </w:r>
            <w:r>
              <w:rPr>
                <w:rFonts w:hint="eastAsia" w:ascii="仿宋" w:hAnsi="仿宋" w:eastAsia="仿宋"/>
                <w:b/>
                <w:sz w:val="22"/>
                <w:szCs w:val="21"/>
              </w:rPr>
              <w:t>响应函</w:t>
            </w:r>
          </w:p>
        </w:tc>
        <w:tc>
          <w:tcPr>
            <w:tcW w:w="5587" w:type="dxa"/>
            <w:noWrap w:val="0"/>
            <w:vAlign w:val="center"/>
          </w:tcPr>
          <w:p>
            <w:pPr>
              <w:jc w:val="left"/>
              <w:rPr>
                <w:rFonts w:hint="eastAsia" w:ascii="仿宋" w:hAnsi="仿宋" w:eastAsia="仿宋"/>
                <w:b/>
                <w:sz w:val="22"/>
                <w:szCs w:val="21"/>
                <w:lang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3</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法人授权委托书</w:t>
            </w:r>
            <w:r>
              <w:rPr>
                <w:rFonts w:hint="eastAsia" w:ascii="仿宋" w:hAnsi="仿宋" w:eastAsia="仿宋" w:cs="宋体"/>
                <w:b/>
                <w:bCs/>
                <w:kern w:val="0"/>
                <w:sz w:val="22"/>
                <w:szCs w:val="21"/>
              </w:rPr>
              <w:t>/法人身份证明文件</w:t>
            </w:r>
          </w:p>
        </w:tc>
        <w:tc>
          <w:tcPr>
            <w:tcW w:w="5587" w:type="dxa"/>
            <w:noWrap w:val="0"/>
            <w:vAlign w:val="center"/>
          </w:tcPr>
          <w:p>
            <w:pPr>
              <w:jc w:val="left"/>
              <w:rPr>
                <w:rFonts w:hint="eastAsia" w:ascii="仿宋" w:hAnsi="仿宋" w:eastAsia="仿宋" w:cs="宋体"/>
                <w:b/>
                <w:bCs/>
                <w:kern w:val="0"/>
                <w:sz w:val="22"/>
                <w:szCs w:val="21"/>
                <w:lang w:eastAsia="zh-CN"/>
              </w:rPr>
            </w:pPr>
            <w:r>
              <w:rPr>
                <w:rFonts w:hint="eastAsia" w:ascii="仿宋" w:hAnsi="仿宋" w:eastAsia="仿宋"/>
                <w:b/>
                <w:sz w:val="22"/>
                <w:szCs w:val="21"/>
              </w:rPr>
              <w:t>法人授权委托书</w:t>
            </w:r>
            <w:r>
              <w:rPr>
                <w:rFonts w:hint="eastAsia" w:ascii="仿宋" w:hAnsi="仿宋" w:eastAsia="仿宋" w:cs="宋体"/>
                <w:b/>
                <w:bCs/>
                <w:kern w:val="0"/>
                <w:sz w:val="22"/>
                <w:szCs w:val="21"/>
              </w:rPr>
              <w:t>格式见附件</w:t>
            </w:r>
            <w:r>
              <w:rPr>
                <w:rFonts w:hint="eastAsia" w:ascii="仿宋" w:hAnsi="仿宋" w:eastAsia="仿宋" w:cs="宋体"/>
                <w:b/>
                <w:bCs/>
                <w:kern w:val="0"/>
                <w:sz w:val="22"/>
                <w:szCs w:val="21"/>
                <w:lang w:val="en-US" w:eastAsia="zh-CN"/>
              </w:rPr>
              <w:t>3</w:t>
            </w:r>
          </w:p>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4</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反商业贿赂承诺书</w:t>
            </w:r>
          </w:p>
        </w:tc>
        <w:tc>
          <w:tcPr>
            <w:tcW w:w="5587" w:type="dxa"/>
            <w:noWrap w:val="0"/>
            <w:vAlign w:val="center"/>
          </w:tcPr>
          <w:p>
            <w:pPr>
              <w:jc w:val="left"/>
              <w:rPr>
                <w:rFonts w:hint="eastAsia" w:ascii="仿宋" w:hAnsi="仿宋" w:eastAsia="仿宋"/>
                <w:b/>
                <w:sz w:val="22"/>
                <w:szCs w:val="21"/>
                <w:lang w:val="en-US"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5</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公司资质信息</w:t>
            </w:r>
          </w:p>
        </w:tc>
        <w:tc>
          <w:tcPr>
            <w:tcW w:w="5587" w:type="dxa"/>
            <w:tcBorders>
              <w:top w:val="single" w:color="auto" w:sz="4" w:space="0"/>
              <w:bottom w:val="single" w:color="auto" w:sz="4" w:space="0"/>
            </w:tcBorders>
            <w:noWrap w:val="0"/>
            <w:vAlign w:val="center"/>
          </w:tcPr>
          <w:p>
            <w:pPr>
              <w:jc w:val="cente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营业执照、人员资质等相关信息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6</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运营管理方案</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7</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近期与其他单位签订的购销合同、发票、中标通知书。</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需提供三份合同或中标通知书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响应人</w:t>
            </w:r>
            <w:r>
              <w:rPr>
                <w:rFonts w:hint="eastAsia" w:ascii="仿宋" w:hAnsi="仿宋" w:eastAsia="仿宋"/>
                <w:b/>
                <w:sz w:val="22"/>
                <w:szCs w:val="21"/>
              </w:rPr>
              <w:t>认为应递交的其它材料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15313"/>
      <w:bookmarkStart w:id="5" w:name="_Toc304219257"/>
      <w:bookmarkStart w:id="6" w:name="_Toc248896063"/>
      <w:bookmarkStart w:id="7" w:name="_Toc17030"/>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11B0067"/>
    <w:rsid w:val="114C35D9"/>
    <w:rsid w:val="11C31BE9"/>
    <w:rsid w:val="12A11F66"/>
    <w:rsid w:val="14682D8B"/>
    <w:rsid w:val="14D4656C"/>
    <w:rsid w:val="16A35C46"/>
    <w:rsid w:val="17D81E85"/>
    <w:rsid w:val="188744A6"/>
    <w:rsid w:val="1965314B"/>
    <w:rsid w:val="1C900C49"/>
    <w:rsid w:val="1D995826"/>
    <w:rsid w:val="1E4C6245"/>
    <w:rsid w:val="1E8F532B"/>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6951F21"/>
    <w:rsid w:val="384A7AD5"/>
    <w:rsid w:val="3B132AD9"/>
    <w:rsid w:val="3B2A4846"/>
    <w:rsid w:val="3B5373B6"/>
    <w:rsid w:val="3EDC78BB"/>
    <w:rsid w:val="44B67130"/>
    <w:rsid w:val="44D5542C"/>
    <w:rsid w:val="4656733B"/>
    <w:rsid w:val="486D7AF7"/>
    <w:rsid w:val="494804BB"/>
    <w:rsid w:val="4B4638AD"/>
    <w:rsid w:val="4B9C1C97"/>
    <w:rsid w:val="4BC500AA"/>
    <w:rsid w:val="4C6C1786"/>
    <w:rsid w:val="4FCE5CD6"/>
    <w:rsid w:val="53501B3C"/>
    <w:rsid w:val="535409E9"/>
    <w:rsid w:val="53F32B2D"/>
    <w:rsid w:val="550B217C"/>
    <w:rsid w:val="562E3236"/>
    <w:rsid w:val="563E288F"/>
    <w:rsid w:val="57162389"/>
    <w:rsid w:val="57575861"/>
    <w:rsid w:val="58E55D65"/>
    <w:rsid w:val="5AD50E25"/>
    <w:rsid w:val="5BAC6C71"/>
    <w:rsid w:val="5D4D3632"/>
    <w:rsid w:val="615523A0"/>
    <w:rsid w:val="649D2897"/>
    <w:rsid w:val="64E26821"/>
    <w:rsid w:val="65207F71"/>
    <w:rsid w:val="66016CC0"/>
    <w:rsid w:val="67BB5E4F"/>
    <w:rsid w:val="695C7637"/>
    <w:rsid w:val="6A67750E"/>
    <w:rsid w:val="6CD8518D"/>
    <w:rsid w:val="6ECA7999"/>
    <w:rsid w:val="6F8E4227"/>
    <w:rsid w:val="738608DB"/>
    <w:rsid w:val="745F5922"/>
    <w:rsid w:val="78481C82"/>
    <w:rsid w:val="78BC0632"/>
    <w:rsid w:val="78BE0AF1"/>
    <w:rsid w:val="792701E6"/>
    <w:rsid w:val="798E357B"/>
    <w:rsid w:val="7A16624F"/>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5</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2020-07-02T04:01:04Z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